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Caption w:val="School Forest logo and website"/>
        <w:tblDescription w:val="School Forest logo and website www.mndnr.gov/schoolforest"/>
      </w:tblPr>
      <w:tblGrid>
        <w:gridCol w:w="10800"/>
      </w:tblGrid>
      <w:tr w:rsidR="00D20C75" w14:paraId="34820B7C" w14:textId="77777777" w:rsidTr="00BA0F0F">
        <w:trPr>
          <w:tblHeader/>
        </w:trPr>
        <w:tc>
          <w:tcPr>
            <w:tcW w:w="5000" w:type="pct"/>
          </w:tcPr>
          <w:p w14:paraId="59DAA894" w14:textId="77777777" w:rsidR="00D20C75" w:rsidRDefault="00D20C75" w:rsidP="00262DC3">
            <w:pPr>
              <w:tabs>
                <w:tab w:val="left" w:pos="3885"/>
              </w:tabs>
              <w:spacing w:line="360" w:lineRule="auto"/>
              <w:jc w:val="center"/>
              <w:rPr>
                <w:b/>
                <w:sz w:val="28"/>
                <w:szCs w:val="28"/>
              </w:rPr>
            </w:pPr>
            <w:r>
              <w:rPr>
                <w:noProof/>
              </w:rPr>
              <w:drawing>
                <wp:inline distT="0" distB="0" distL="0" distR="0" wp14:anchorId="49E98461" wp14:editId="1E884FE3">
                  <wp:extent cx="812544" cy="597002"/>
                  <wp:effectExtent l="0" t="0" r="6985" b="0"/>
                  <wp:docPr id="2" name="Picture 2" descr="School Forest logo" title="School Fo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Forest Logo 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2544" cy="597002"/>
                          </a:xfrm>
                          <a:prstGeom prst="rect">
                            <a:avLst/>
                          </a:prstGeom>
                        </pic:spPr>
                      </pic:pic>
                    </a:graphicData>
                  </a:graphic>
                </wp:inline>
              </w:drawing>
            </w:r>
          </w:p>
        </w:tc>
      </w:tr>
      <w:tr w:rsidR="00D20C75" w14:paraId="644466A0" w14:textId="77777777" w:rsidTr="00262DC3">
        <w:tc>
          <w:tcPr>
            <w:tcW w:w="5000" w:type="pct"/>
          </w:tcPr>
          <w:p w14:paraId="7BFF6617" w14:textId="77777777" w:rsidR="00D20C75" w:rsidRDefault="00A618CD" w:rsidP="00D20C75">
            <w:pPr>
              <w:pStyle w:val="Header"/>
              <w:jc w:val="center"/>
              <w:rPr>
                <w:rStyle w:val="Hyperlink"/>
                <w:b/>
                <w:sz w:val="18"/>
                <w:szCs w:val="18"/>
              </w:rPr>
            </w:pPr>
            <w:hyperlink r:id="rId9" w:history="1">
              <w:r w:rsidR="00D20C75" w:rsidRPr="00A81446">
                <w:rPr>
                  <w:rStyle w:val="Hyperlink"/>
                  <w:b/>
                  <w:sz w:val="18"/>
                  <w:szCs w:val="18"/>
                </w:rPr>
                <w:t>www.mndnr.gov/schoolforest</w:t>
              </w:r>
            </w:hyperlink>
          </w:p>
          <w:p w14:paraId="0FFC7C97" w14:textId="77777777" w:rsidR="00D20C75" w:rsidRPr="00D20C75" w:rsidRDefault="00D20C75" w:rsidP="00D20C75">
            <w:pPr>
              <w:pStyle w:val="Header"/>
              <w:jc w:val="center"/>
              <w:rPr>
                <w:b/>
                <w:sz w:val="18"/>
                <w:szCs w:val="18"/>
              </w:rPr>
            </w:pPr>
          </w:p>
        </w:tc>
      </w:tr>
    </w:tbl>
    <w:p w14:paraId="2F21E3B0" w14:textId="77777777" w:rsidR="00CC58E9" w:rsidRPr="001A03BC" w:rsidRDefault="00CC58E9" w:rsidP="00D20C75">
      <w:pPr>
        <w:spacing w:after="0" w:line="360" w:lineRule="auto"/>
        <w:jc w:val="center"/>
        <w:rPr>
          <w:b/>
          <w:sz w:val="28"/>
          <w:szCs w:val="28"/>
        </w:rPr>
      </w:pPr>
      <w:r w:rsidRPr="001A03BC">
        <w:rPr>
          <w:b/>
          <w:sz w:val="28"/>
          <w:szCs w:val="28"/>
        </w:rPr>
        <w:t>Minnesota School Forest Program</w:t>
      </w:r>
    </w:p>
    <w:p w14:paraId="04DE4A57" w14:textId="77777777" w:rsidR="00911E57" w:rsidRDefault="00911E57" w:rsidP="00911E57">
      <w:pPr>
        <w:pStyle w:val="Title"/>
      </w:pPr>
      <w:r>
        <w:t xml:space="preserve">Twig Observation – Match Game </w:t>
      </w:r>
    </w:p>
    <w:p w14:paraId="37BB83D7" w14:textId="1E74E0BC" w:rsidR="003527B1" w:rsidRPr="00057894" w:rsidRDefault="003527B1" w:rsidP="000A2C30">
      <w:r w:rsidRPr="00057894">
        <w:t xml:space="preserve">This is a good activity to refresh students’ observation skills at any age. </w:t>
      </w:r>
      <w:r>
        <w:t>I’ve used i</w:t>
      </w:r>
      <w:r w:rsidR="00173B0B">
        <w:t xml:space="preserve">t as an icebreaker with adults </w:t>
      </w:r>
      <w:r>
        <w:t xml:space="preserve">and with students a way to teach science observation or using a dichotomous key (grade 5 and up). </w:t>
      </w:r>
      <w:r w:rsidR="00CF7A49">
        <w:t xml:space="preserve">Best, you don’t have to know the names of the trees!      </w:t>
      </w:r>
      <w:r>
        <w:t xml:space="preserve"> </w:t>
      </w:r>
      <w:r w:rsidRPr="0066364B">
        <w:t>-Laura Duffey, Minneso</w:t>
      </w:r>
      <w:r>
        <w:t xml:space="preserve">ta PLT and School Forest </w:t>
      </w:r>
    </w:p>
    <w:p w14:paraId="2FBD8D86" w14:textId="77777777" w:rsidR="003527B1" w:rsidRDefault="003527B1" w:rsidP="000A2C30">
      <w:r>
        <w:rPr>
          <w:b/>
        </w:rPr>
        <w:t>Grade(s):</w:t>
      </w:r>
      <w:r w:rsidRPr="001C1F30">
        <w:t xml:space="preserve"> </w:t>
      </w:r>
      <w:r>
        <w:t>K-12, adult</w:t>
      </w:r>
    </w:p>
    <w:p w14:paraId="755B78E5" w14:textId="66975A2D" w:rsidR="003527B1" w:rsidRDefault="003527B1" w:rsidP="000A2C30">
      <w:r>
        <w:rPr>
          <w:b/>
        </w:rPr>
        <w:t>Materials:</w:t>
      </w:r>
      <w:r>
        <w:t xml:space="preserve">  </w:t>
      </w:r>
      <w:r w:rsidR="00CF7A49">
        <w:t>P</w:t>
      </w:r>
      <w:r>
        <w:t>airs or groups of twigs</w:t>
      </w:r>
      <w:r w:rsidR="00CF7A49">
        <w:t>. Each student needs one twig.</w:t>
      </w:r>
    </w:p>
    <w:p w14:paraId="3670B15E" w14:textId="77777777" w:rsidR="003527B1" w:rsidRDefault="003527B1" w:rsidP="000A2C30">
      <w:r>
        <w:rPr>
          <w:b/>
        </w:rPr>
        <w:t>Objective(s):</w:t>
      </w:r>
      <w:r>
        <w:t xml:space="preserve">  Students will explore</w:t>
      </w:r>
      <w:r w:rsidR="00CF7A49">
        <w:t xml:space="preserve"> properties of tree branches and then match their twig with another student’s twig.  </w:t>
      </w:r>
    </w:p>
    <w:p w14:paraId="430E41DB" w14:textId="77777777" w:rsidR="000A2C30" w:rsidRDefault="003527B1" w:rsidP="000A2C30">
      <w:pPr>
        <w:rPr>
          <w:b/>
        </w:rPr>
      </w:pPr>
      <w:r>
        <w:rPr>
          <w:b/>
        </w:rPr>
        <w:t xml:space="preserve">Procedure: </w:t>
      </w:r>
    </w:p>
    <w:p w14:paraId="40B4B3D3" w14:textId="2BC5E65A" w:rsidR="000A2C30" w:rsidRDefault="003527B1" w:rsidP="00576C65">
      <w:pPr>
        <w:pStyle w:val="ListParagraph"/>
        <w:numPr>
          <w:ilvl w:val="0"/>
          <w:numId w:val="8"/>
        </w:numPr>
      </w:pPr>
      <w:r>
        <w:t>B</w:t>
      </w:r>
      <w:r w:rsidRPr="00ED1946">
        <w:t xml:space="preserve">efore class, go outside and collect </w:t>
      </w:r>
      <w:r w:rsidR="00911E57">
        <w:t>enough</w:t>
      </w:r>
      <w:r w:rsidRPr="00ED1946">
        <w:t xml:space="preserve"> woody twigs</w:t>
      </w:r>
      <w:r>
        <w:t xml:space="preserve"> </w:t>
      </w:r>
      <w:r w:rsidR="00911E57">
        <w:t xml:space="preserve">so that each </w:t>
      </w:r>
      <w:r>
        <w:t>student</w:t>
      </w:r>
      <w:r w:rsidR="00911E57">
        <w:t xml:space="preserve"> gets a twig. Twigs should be at least 6 inches long and contain 4 or more buds or marks where leaves are attached. Collect from </w:t>
      </w:r>
      <w:r w:rsidRPr="00ED1946">
        <w:t>different sp</w:t>
      </w:r>
      <w:r>
        <w:t xml:space="preserve">ecies of trees and shrubs. </w:t>
      </w:r>
      <w:r w:rsidR="000A2C30">
        <w:t xml:space="preserve">Flag the tree and shrubs that supplied the twigs. </w:t>
      </w:r>
      <w:r w:rsidRPr="00ED1946">
        <w:t xml:space="preserve">Make sure </w:t>
      </w:r>
      <w:r w:rsidR="000A2C30">
        <w:t xml:space="preserve">to collect </w:t>
      </w:r>
      <w:r w:rsidRPr="00ED1946">
        <w:t xml:space="preserve">at least 2 </w:t>
      </w:r>
      <w:r>
        <w:t xml:space="preserve">samples </w:t>
      </w:r>
      <w:r w:rsidRPr="00ED1946">
        <w:t>of each species.</w:t>
      </w:r>
      <w:r>
        <w:t xml:space="preserve"> Students will form pair matches.</w:t>
      </w:r>
    </w:p>
    <w:p w14:paraId="54DFF04F" w14:textId="77777777" w:rsidR="000A2C30" w:rsidRDefault="000A2C30" w:rsidP="000A2C30">
      <w:pPr>
        <w:pStyle w:val="ListParagraph"/>
      </w:pPr>
    </w:p>
    <w:p w14:paraId="3CD11DCF" w14:textId="6C753F50" w:rsidR="003527B1" w:rsidRDefault="002F206D" w:rsidP="000A2C30">
      <w:pPr>
        <w:pStyle w:val="ListParagraph"/>
      </w:pPr>
      <w:r>
        <w:t>Use a small lopper to h</w:t>
      </w:r>
      <w:r w:rsidR="00CF7A49">
        <w:t>arvest twig</w:t>
      </w:r>
      <w:r>
        <w:t>s</w:t>
      </w:r>
      <w:r w:rsidR="00CF7A49">
        <w:t xml:space="preserve"> from </w:t>
      </w:r>
      <w:r>
        <w:t>living tr</w:t>
      </w:r>
      <w:r w:rsidR="00CF7A49">
        <w:t>ee</w:t>
      </w:r>
      <w:r>
        <w:t>s</w:t>
      </w:r>
      <w:r w:rsidR="00CF7A49">
        <w:t xml:space="preserve"> or shrub</w:t>
      </w:r>
      <w:r>
        <w:t>s</w:t>
      </w:r>
      <w:r w:rsidR="003527B1" w:rsidRPr="00ED1946">
        <w:t xml:space="preserve">. </w:t>
      </w:r>
      <w:proofErr w:type="gramStart"/>
      <w:r w:rsidR="003527B1" w:rsidRPr="00ED1946">
        <w:t>Don’t</w:t>
      </w:r>
      <w:proofErr w:type="gramEnd"/>
      <w:r w:rsidR="003527B1" w:rsidRPr="00ED1946">
        <w:t xml:space="preserve"> remove the leader branch, which is the topmost twig on a sapling. Remove </w:t>
      </w:r>
      <w:r w:rsidR="000A2C30">
        <w:t xml:space="preserve">any </w:t>
      </w:r>
      <w:r w:rsidR="003527B1" w:rsidRPr="00ED1946">
        <w:t xml:space="preserve">leaves. </w:t>
      </w:r>
      <w:r w:rsidR="00CF7A49">
        <w:t xml:space="preserve"> </w:t>
      </w:r>
      <w:r>
        <w:t>Removing twigs when trees are dormant should not harm the tree.</w:t>
      </w:r>
    </w:p>
    <w:p w14:paraId="55231EDC" w14:textId="77777777" w:rsidR="000A2C30" w:rsidRDefault="000A2C30" w:rsidP="000A2C30">
      <w:pPr>
        <w:pStyle w:val="ListParagraph"/>
      </w:pPr>
    </w:p>
    <w:p w14:paraId="0D2A6D4C" w14:textId="05DB8491" w:rsidR="000A2C30" w:rsidRDefault="000A2C30" w:rsidP="000A2C30">
      <w:pPr>
        <w:pStyle w:val="ListParagraph"/>
      </w:pPr>
      <w:r>
        <w:t xml:space="preserve">For younger grades (K-3) select fewer species. This will make matching </w:t>
      </w:r>
      <w:proofErr w:type="gramStart"/>
      <w:r>
        <w:t>easier</w:t>
      </w:r>
      <w:proofErr w:type="gramEnd"/>
      <w:r>
        <w:t xml:space="preserve"> and they can form larger groups of matches.</w:t>
      </w:r>
    </w:p>
    <w:p w14:paraId="011D5541" w14:textId="77777777" w:rsidR="000A2C30" w:rsidRDefault="000A2C30" w:rsidP="000A2C30">
      <w:pPr>
        <w:pStyle w:val="ListParagraph"/>
      </w:pPr>
    </w:p>
    <w:p w14:paraId="02576563" w14:textId="77777777" w:rsidR="000A2C30" w:rsidRDefault="003527B1" w:rsidP="000A2C30">
      <w:pPr>
        <w:pStyle w:val="ListParagraph"/>
        <w:numPr>
          <w:ilvl w:val="0"/>
          <w:numId w:val="8"/>
        </w:numPr>
      </w:pPr>
      <w:r w:rsidRPr="00ED1946">
        <w:t xml:space="preserve">Put all the twigs </w:t>
      </w:r>
      <w:r w:rsidR="00CF7A49">
        <w:t>on a table.</w:t>
      </w:r>
      <w:r w:rsidRPr="00ED1946">
        <w:t xml:space="preserve"> </w:t>
      </w:r>
      <w:r>
        <w:t>L</w:t>
      </w:r>
      <w:r w:rsidRPr="00ED1946">
        <w:t xml:space="preserve">et </w:t>
      </w:r>
      <w:r>
        <w:t>each student c</w:t>
      </w:r>
      <w:r w:rsidRPr="00ED1946">
        <w:t xml:space="preserve">hoose </w:t>
      </w:r>
      <w:r w:rsidR="00CF7A49">
        <w:t>one</w:t>
      </w:r>
      <w:r w:rsidRPr="00ED1946">
        <w:t xml:space="preserve"> twig. </w:t>
      </w:r>
    </w:p>
    <w:p w14:paraId="4213EDAE" w14:textId="77777777" w:rsidR="000A2C30" w:rsidRDefault="000A2C30" w:rsidP="000A2C30">
      <w:pPr>
        <w:pStyle w:val="ListParagraph"/>
      </w:pPr>
    </w:p>
    <w:p w14:paraId="596126DC" w14:textId="77777777" w:rsidR="000A2C30" w:rsidRDefault="003527B1" w:rsidP="000A2C30">
      <w:pPr>
        <w:pStyle w:val="ListParagraph"/>
        <w:numPr>
          <w:ilvl w:val="0"/>
          <w:numId w:val="8"/>
        </w:numPr>
      </w:pPr>
      <w:r>
        <w:t>Tell</w:t>
      </w:r>
      <w:r w:rsidRPr="00ED1946">
        <w:t xml:space="preserve"> </w:t>
      </w:r>
      <w:r w:rsidR="000A2C30">
        <w:t xml:space="preserve">students to </w:t>
      </w:r>
      <w:r w:rsidRPr="00ED1946">
        <w:t xml:space="preserve">observe </w:t>
      </w:r>
      <w:r w:rsidR="000A2C30">
        <w:t xml:space="preserve">their twig </w:t>
      </w:r>
      <w:r w:rsidRPr="00ED1946">
        <w:t>closely</w:t>
      </w:r>
      <w:r w:rsidR="000A2C30">
        <w:t xml:space="preserve"> </w:t>
      </w:r>
      <w:r w:rsidRPr="00ED1946">
        <w:t>us</w:t>
      </w:r>
      <w:r w:rsidR="000A2C30">
        <w:t xml:space="preserve">ing </w:t>
      </w:r>
      <w:r w:rsidRPr="00ED1946">
        <w:t xml:space="preserve">as many senses as possible—touch, smell, sight. </w:t>
      </w:r>
    </w:p>
    <w:p w14:paraId="7F1CB20A" w14:textId="77777777" w:rsidR="000A2C30" w:rsidRDefault="000A2C30" w:rsidP="000A2C30">
      <w:pPr>
        <w:pStyle w:val="ListParagraph"/>
      </w:pPr>
    </w:p>
    <w:p w14:paraId="4116E9A0" w14:textId="77777777" w:rsidR="00D5381C" w:rsidRDefault="000A2C30" w:rsidP="000A2C30">
      <w:pPr>
        <w:pStyle w:val="ListParagraph"/>
        <w:numPr>
          <w:ilvl w:val="0"/>
          <w:numId w:val="8"/>
        </w:numPr>
      </w:pPr>
      <w:r>
        <w:t>Ask: What do they observe? Write responses on the board.</w:t>
      </w:r>
      <w:r w:rsidR="002F206D">
        <w:t xml:space="preserve"> </w:t>
      </w:r>
    </w:p>
    <w:p w14:paraId="270D7F1C" w14:textId="77777777" w:rsidR="00D5381C" w:rsidRDefault="00D5381C" w:rsidP="00D5381C">
      <w:pPr>
        <w:pStyle w:val="ListParagraph"/>
      </w:pPr>
    </w:p>
    <w:p w14:paraId="7D8537FB" w14:textId="77777777" w:rsidR="00D5381C" w:rsidRDefault="002F206D" w:rsidP="00D5381C">
      <w:pPr>
        <w:pStyle w:val="ListParagraph"/>
        <w:numPr>
          <w:ilvl w:val="1"/>
          <w:numId w:val="8"/>
        </w:numPr>
      </w:pPr>
      <w:r>
        <w:t xml:space="preserve">List adjectives on one side of the board. </w:t>
      </w:r>
    </w:p>
    <w:p w14:paraId="5D5A302D" w14:textId="3727661D" w:rsidR="000A2C30" w:rsidRDefault="002F206D" w:rsidP="00D5381C">
      <w:pPr>
        <w:pStyle w:val="ListParagraph"/>
        <w:numPr>
          <w:ilvl w:val="1"/>
          <w:numId w:val="8"/>
        </w:numPr>
      </w:pPr>
      <w:r>
        <w:t xml:space="preserve">On the other half of the board </w:t>
      </w:r>
      <w:r w:rsidR="000A2C30">
        <w:t>draw</w:t>
      </w:r>
      <w:r>
        <w:t xml:space="preserve"> </w:t>
      </w:r>
      <w:r w:rsidR="000A2C30">
        <w:t>a sample twig</w:t>
      </w:r>
      <w:r>
        <w:t xml:space="preserve">. When students </w:t>
      </w:r>
      <w:r w:rsidR="000A2C30">
        <w:t xml:space="preserve">identify </w:t>
      </w:r>
      <w:r w:rsidR="00D5381C">
        <w:t xml:space="preserve">observations of twig parts such as </w:t>
      </w:r>
      <w:r w:rsidR="000A2C30">
        <w:t>buds, bud scars, lenticels, hairs, etc.</w:t>
      </w:r>
      <w:r>
        <w:t>, label the twig and build vocabulary.</w:t>
      </w:r>
    </w:p>
    <w:p w14:paraId="23D5587E" w14:textId="77777777" w:rsidR="00F376B4" w:rsidRDefault="00F376B4" w:rsidP="00F376B4">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8"/>
        <w:gridCol w:w="4642"/>
      </w:tblGrid>
      <w:tr w:rsidR="00CB4FAC" w14:paraId="515265FB" w14:textId="77777777" w:rsidTr="00CB4FAC">
        <w:trPr>
          <w:trHeight w:val="4607"/>
        </w:trPr>
        <w:tc>
          <w:tcPr>
            <w:tcW w:w="5508" w:type="dxa"/>
            <w:vAlign w:val="center"/>
          </w:tcPr>
          <w:p w14:paraId="434FAE85" w14:textId="053B2671" w:rsidR="00F376B4" w:rsidRDefault="00F376B4" w:rsidP="00CB4FAC">
            <w:pPr>
              <w:pStyle w:val="ListParagraph"/>
              <w:ind w:left="0"/>
              <w:jc w:val="right"/>
            </w:pPr>
            <w:r>
              <w:rPr>
                <w:noProof/>
              </w:rPr>
              <w:lastRenderedPageBreak/>
              <w:drawing>
                <wp:inline distT="0" distB="0" distL="0" distR="0" wp14:anchorId="764EBD72" wp14:editId="11E19E2D">
                  <wp:extent cx="2238375" cy="2649752"/>
                  <wp:effectExtent l="0" t="0" r="0" b="0"/>
                  <wp:docPr id="7" name="Picture 7" descr="diagram of features found on a tw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of features found on a tw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4258" cy="2656716"/>
                          </a:xfrm>
                          <a:prstGeom prst="rect">
                            <a:avLst/>
                          </a:prstGeom>
                          <a:noFill/>
                          <a:ln>
                            <a:noFill/>
                          </a:ln>
                        </pic:spPr>
                      </pic:pic>
                    </a:graphicData>
                  </a:graphic>
                </wp:inline>
              </w:drawing>
            </w:r>
          </w:p>
        </w:tc>
        <w:tc>
          <w:tcPr>
            <w:tcW w:w="4788" w:type="dxa"/>
            <w:vAlign w:val="center"/>
          </w:tcPr>
          <w:p w14:paraId="62E6F503" w14:textId="4CC0A588" w:rsidR="00F376B4" w:rsidRDefault="00CB4FAC" w:rsidP="00F376B4">
            <w:pPr>
              <w:pStyle w:val="ListParagraph"/>
              <w:ind w:left="0"/>
            </w:pPr>
            <w:r>
              <w:rPr>
                <w:noProof/>
              </w:rPr>
              <w:t>Image from Wisconsin LEAF</w:t>
            </w:r>
          </w:p>
        </w:tc>
      </w:tr>
    </w:tbl>
    <w:p w14:paraId="6512F888" w14:textId="77777777" w:rsidR="00F376B4" w:rsidRDefault="00F376B4" w:rsidP="00F376B4">
      <w:pPr>
        <w:pStyle w:val="ListParagraph"/>
      </w:pPr>
    </w:p>
    <w:p w14:paraId="4A83B0B4" w14:textId="3E86542A" w:rsidR="000A2C30" w:rsidRDefault="000A2C30" w:rsidP="000A2C30">
      <w:pPr>
        <w:pStyle w:val="ListParagraph"/>
        <w:numPr>
          <w:ilvl w:val="0"/>
          <w:numId w:val="8"/>
        </w:numPr>
      </w:pPr>
      <w:r>
        <w:t xml:space="preserve">Ask: What patterns do they observe? If no one mentions bud placement, explain what opposite and alternate branching or buds look like. Draw and label examples of opposite and alternate branching on the board. </w:t>
      </w:r>
    </w:p>
    <w:p w14:paraId="3918A915" w14:textId="77777777" w:rsidR="000A2C30" w:rsidRDefault="000A2C30" w:rsidP="000A2C30">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4884"/>
      </w:tblGrid>
      <w:tr w:rsidR="000A2C30" w14:paraId="2DCBE70A" w14:textId="77777777" w:rsidTr="00911E57">
        <w:tc>
          <w:tcPr>
            <w:tcW w:w="5508" w:type="dxa"/>
          </w:tcPr>
          <w:p w14:paraId="11B0BE4D" w14:textId="1A84E621" w:rsidR="000A2C30" w:rsidRDefault="00911E57" w:rsidP="00911E57">
            <w:pPr>
              <w:pStyle w:val="ListParagraph"/>
              <w:ind w:left="0"/>
              <w:jc w:val="right"/>
            </w:pPr>
            <w:r>
              <w:rPr>
                <w:noProof/>
              </w:rPr>
              <w:drawing>
                <wp:inline distT="0" distB="0" distL="0" distR="0" wp14:anchorId="777D4538" wp14:editId="1BD56F41">
                  <wp:extent cx="1436798" cy="2314575"/>
                  <wp:effectExtent l="0" t="0" r="0" b="0"/>
                  <wp:docPr id="1" name="Picture 1" descr="twig with opposite bran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ig with opposite branch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583" cy="2317450"/>
                          </a:xfrm>
                          <a:prstGeom prst="rect">
                            <a:avLst/>
                          </a:prstGeom>
                          <a:noFill/>
                          <a:ln>
                            <a:noFill/>
                          </a:ln>
                        </pic:spPr>
                      </pic:pic>
                    </a:graphicData>
                  </a:graphic>
                </wp:inline>
              </w:drawing>
            </w:r>
          </w:p>
        </w:tc>
        <w:tc>
          <w:tcPr>
            <w:tcW w:w="5508" w:type="dxa"/>
            <w:vAlign w:val="center"/>
          </w:tcPr>
          <w:p w14:paraId="0F96ACCC" w14:textId="77777777" w:rsidR="00911E57" w:rsidRDefault="00911E57" w:rsidP="00911E57">
            <w:r>
              <w:t>Example of a twig with opposite branching</w:t>
            </w:r>
          </w:p>
          <w:p w14:paraId="448141F3" w14:textId="77777777" w:rsidR="000A2C30" w:rsidRDefault="000A2C30" w:rsidP="000A2C30">
            <w:pPr>
              <w:pStyle w:val="ListParagraph"/>
              <w:ind w:left="0"/>
            </w:pPr>
          </w:p>
        </w:tc>
      </w:tr>
      <w:tr w:rsidR="000A2C30" w14:paraId="7B4ED134" w14:textId="77777777" w:rsidTr="00911E57">
        <w:tc>
          <w:tcPr>
            <w:tcW w:w="5508" w:type="dxa"/>
          </w:tcPr>
          <w:p w14:paraId="026B235C" w14:textId="0AE54412" w:rsidR="000A2C30" w:rsidRDefault="00911E57" w:rsidP="00911E57">
            <w:pPr>
              <w:pStyle w:val="ListParagraph"/>
              <w:ind w:left="0"/>
              <w:jc w:val="right"/>
            </w:pPr>
            <w:r>
              <w:rPr>
                <w:noProof/>
              </w:rPr>
              <w:drawing>
                <wp:inline distT="0" distB="0" distL="0" distR="0" wp14:anchorId="18710C75" wp14:editId="43F79488">
                  <wp:extent cx="1962382" cy="462988"/>
                  <wp:effectExtent l="0" t="0" r="0" b="0"/>
                  <wp:docPr id="5" name="Picture 5" descr="twig with alternate bran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wig with alternate branching"/>
                          <pic:cNvPicPr/>
                        </pic:nvPicPr>
                        <pic:blipFill>
                          <a:blip r:embed="rId12">
                            <a:extLst>
                              <a:ext uri="{28A0092B-C50C-407E-A947-70E740481C1C}">
                                <a14:useLocalDpi xmlns:a14="http://schemas.microsoft.com/office/drawing/2010/main" val="0"/>
                              </a:ext>
                            </a:extLst>
                          </a:blip>
                          <a:stretch>
                            <a:fillRect/>
                          </a:stretch>
                        </pic:blipFill>
                        <pic:spPr>
                          <a:xfrm>
                            <a:off x="0" y="0"/>
                            <a:ext cx="2033316" cy="479724"/>
                          </a:xfrm>
                          <a:prstGeom prst="rect">
                            <a:avLst/>
                          </a:prstGeom>
                        </pic:spPr>
                      </pic:pic>
                    </a:graphicData>
                  </a:graphic>
                </wp:inline>
              </w:drawing>
            </w:r>
          </w:p>
        </w:tc>
        <w:tc>
          <w:tcPr>
            <w:tcW w:w="5508" w:type="dxa"/>
            <w:vAlign w:val="center"/>
          </w:tcPr>
          <w:p w14:paraId="633820CA" w14:textId="7CD08550" w:rsidR="000A2C30" w:rsidRDefault="00911E57" w:rsidP="00911E57">
            <w:r>
              <w:t>Example of a twig with alternate branching</w:t>
            </w:r>
          </w:p>
        </w:tc>
      </w:tr>
    </w:tbl>
    <w:p w14:paraId="4257B071" w14:textId="77777777" w:rsidR="000A2C30" w:rsidRDefault="000A2C30" w:rsidP="000A2C30">
      <w:pPr>
        <w:pStyle w:val="ListParagraph"/>
      </w:pPr>
    </w:p>
    <w:p w14:paraId="391ED776" w14:textId="77777777" w:rsidR="000A2C30" w:rsidRDefault="000A2C30" w:rsidP="000A2C30">
      <w:pPr>
        <w:pStyle w:val="ListParagraph"/>
      </w:pPr>
    </w:p>
    <w:p w14:paraId="3B6513CC" w14:textId="77777777" w:rsidR="000A2C30" w:rsidRDefault="000A2C30" w:rsidP="000A2C30">
      <w:pPr>
        <w:pStyle w:val="ListParagraph"/>
        <w:numPr>
          <w:ilvl w:val="0"/>
          <w:numId w:val="8"/>
        </w:numPr>
      </w:pPr>
      <w:r>
        <w:t xml:space="preserve">Test for understanding. Ask students who have opposite branching to lift their twigs in the air. Do the same for alternate branching. </w:t>
      </w:r>
    </w:p>
    <w:p w14:paraId="2FB55C51" w14:textId="77777777" w:rsidR="000A2C30" w:rsidRDefault="000A2C30" w:rsidP="000A2C30">
      <w:pPr>
        <w:pStyle w:val="ListParagraph"/>
      </w:pPr>
    </w:p>
    <w:p w14:paraId="23608FCC" w14:textId="77777777" w:rsidR="000A2C30" w:rsidRDefault="000A2C30" w:rsidP="000A2C30">
      <w:pPr>
        <w:pStyle w:val="ListParagraph"/>
        <w:numPr>
          <w:ilvl w:val="0"/>
          <w:numId w:val="8"/>
        </w:numPr>
      </w:pPr>
      <w:r>
        <w:t xml:space="preserve">Ask, </w:t>
      </w:r>
      <w:proofErr w:type="gramStart"/>
      <w:r>
        <w:t>Does</w:t>
      </w:r>
      <w:proofErr w:type="gramEnd"/>
      <w:r>
        <w:t xml:space="preserve"> your twig look like your neighbor’s twig? Give them a moment to compare. </w:t>
      </w:r>
    </w:p>
    <w:p w14:paraId="4A7945B2" w14:textId="77777777" w:rsidR="000A2C30" w:rsidRDefault="000A2C30" w:rsidP="000A2C30">
      <w:pPr>
        <w:pStyle w:val="ListParagraph"/>
      </w:pPr>
    </w:p>
    <w:p w14:paraId="2FCC2ECB" w14:textId="3301BCC9" w:rsidR="000A2C30" w:rsidRDefault="000A2C30" w:rsidP="000A2C30">
      <w:pPr>
        <w:pStyle w:val="ListParagraph"/>
        <w:numPr>
          <w:ilvl w:val="0"/>
          <w:numId w:val="8"/>
        </w:numPr>
      </w:pPr>
      <w:r>
        <w:t>H</w:t>
      </w:r>
      <w:r w:rsidR="003527B1">
        <w:t>ave each student</w:t>
      </w:r>
      <w:r w:rsidR="003527B1" w:rsidRPr="00ED1946">
        <w:t xml:space="preserve"> find </w:t>
      </w:r>
      <w:r w:rsidR="003527B1">
        <w:t xml:space="preserve">a </w:t>
      </w:r>
      <w:r w:rsidR="003527B1" w:rsidRPr="00ED1946">
        <w:t xml:space="preserve">person in the room who has </w:t>
      </w:r>
      <w:r w:rsidR="003527B1">
        <w:t>a twig with similar features.</w:t>
      </w:r>
      <w:r w:rsidR="00CF7A49">
        <w:t xml:space="preserve"> </w:t>
      </w:r>
      <w:r>
        <w:t>Can they find each other?</w:t>
      </w:r>
    </w:p>
    <w:p w14:paraId="472BFF68" w14:textId="77777777" w:rsidR="000A2C30" w:rsidRDefault="000A2C30" w:rsidP="000A2C30">
      <w:pPr>
        <w:pStyle w:val="ListParagraph"/>
      </w:pPr>
    </w:p>
    <w:p w14:paraId="407DB2A7" w14:textId="481D86E1" w:rsidR="003527B1" w:rsidRDefault="00CF7A49" w:rsidP="000A2C30">
      <w:pPr>
        <w:pStyle w:val="ListParagraph"/>
        <w:numPr>
          <w:ilvl w:val="0"/>
          <w:numId w:val="8"/>
        </w:numPr>
      </w:pPr>
      <w:r>
        <w:lastRenderedPageBreak/>
        <w:t xml:space="preserve">If you have time, take students outside to the flagged trees where you harvested the twigs. Challenge students to find the tree that their twig came from. </w:t>
      </w:r>
      <w:r w:rsidR="003527B1" w:rsidRPr="00ED1946">
        <w:t xml:space="preserve">If </w:t>
      </w:r>
      <w:proofErr w:type="gramStart"/>
      <w:r w:rsidR="003527B1">
        <w:t>it’s</w:t>
      </w:r>
      <w:proofErr w:type="gramEnd"/>
      <w:r w:rsidR="003527B1">
        <w:t xml:space="preserve"> age-appropriate</w:t>
      </w:r>
      <w:r w:rsidR="003527B1" w:rsidRPr="00ED1946">
        <w:t>, provide tree ID books and let each small group try to figure out what species of twig they have.</w:t>
      </w:r>
      <w:r w:rsidR="003527B1">
        <w:t xml:space="preserve">  (Using dichotomous keys is grade 7 Minn. science standard.)</w:t>
      </w:r>
    </w:p>
    <w:p w14:paraId="313B8C28" w14:textId="2DA1FDFD" w:rsidR="003527B1" w:rsidRPr="00ED1946" w:rsidRDefault="00BB616E" w:rsidP="000A2C30">
      <w:r w:rsidRPr="00BB616E">
        <w:rPr>
          <w:b/>
        </w:rPr>
        <w:t>Notes:</w:t>
      </w:r>
      <w:r w:rsidR="00173B0B">
        <w:t xml:space="preserve"> R</w:t>
      </w:r>
      <w:r w:rsidR="003527B1" w:rsidRPr="00ED1946">
        <w:t xml:space="preserve">emoving the leaves replicates the typical </w:t>
      </w:r>
      <w:r w:rsidR="003527B1">
        <w:t>leaf-off conditions of deciduous</w:t>
      </w:r>
      <w:r w:rsidR="003527B1" w:rsidRPr="00ED1946">
        <w:t xml:space="preserve"> tree</w:t>
      </w:r>
      <w:r w:rsidR="003527B1">
        <w:t>s</w:t>
      </w:r>
      <w:r w:rsidR="003527B1" w:rsidRPr="00ED1946">
        <w:t xml:space="preserve"> during a typical Minnesota school year and gives participants a little more confidence identifying trees without relying on leaf shape.</w:t>
      </w:r>
    </w:p>
    <w:p w14:paraId="7C7FB256" w14:textId="46034F88" w:rsidR="00CB4FAC" w:rsidRDefault="003527B1" w:rsidP="00FC1964">
      <w:r w:rsidRPr="00ED1946">
        <w:t xml:space="preserve">If there are not a lot of tree species in your area, </w:t>
      </w:r>
      <w:proofErr w:type="gramStart"/>
      <w:r w:rsidRPr="00ED1946">
        <w:t>it’s</w:t>
      </w:r>
      <w:proofErr w:type="gramEnd"/>
      <w:r w:rsidRPr="00ED1946">
        <w:t xml:space="preserve"> ok to provide more than one pair of each species and let groups of 4 or 6 find each other</w:t>
      </w:r>
      <w:r w:rsidR="00F21167">
        <w:t>.</w:t>
      </w:r>
    </w:p>
    <w:p w14:paraId="080EE230" w14:textId="77777777" w:rsidR="00CB4FAC" w:rsidRDefault="00CB4FAC">
      <w:r>
        <w:br w:type="page"/>
      </w:r>
    </w:p>
    <w:p w14:paraId="502F9DF2" w14:textId="77777777" w:rsidR="00CB4FAC" w:rsidRDefault="00CB4FAC" w:rsidP="00FC1964"/>
    <w:p w14:paraId="124014D2" w14:textId="641744DE" w:rsidR="00CB4FAC" w:rsidRDefault="00CB4FAC" w:rsidP="00FC1964">
      <w:r w:rsidRPr="002F206D">
        <w:rPr>
          <w:rStyle w:val="TitleChar"/>
        </w:rPr>
        <w:t>Can you label the parts of your twig</w:t>
      </w:r>
      <w:r w:rsidR="002F206D">
        <w:rPr>
          <w:rStyle w:val="TitleChar"/>
        </w:rPr>
        <w:t>?</w:t>
      </w:r>
    </w:p>
    <w:p w14:paraId="10847EDB" w14:textId="6084087E" w:rsidR="00E56ED5" w:rsidRPr="00BA0F0F" w:rsidRDefault="00CB4FAC" w:rsidP="00FC1964">
      <w:r>
        <w:t xml:space="preserve"> </w:t>
      </w:r>
      <w:r>
        <w:rPr>
          <w:noProof/>
        </w:rPr>
        <w:drawing>
          <wp:inline distT="0" distB="0" distL="0" distR="0" wp14:anchorId="5A98B6B9" wp14:editId="422FCEEE">
            <wp:extent cx="3209925" cy="4705350"/>
            <wp:effectExtent l="0" t="0" r="9525" b="0"/>
            <wp:docPr id="10" name="Picture 10" descr="drawing of twig with blank spaces for lab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rawing of twig with blank spaces for label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4705350"/>
                    </a:xfrm>
                    <a:prstGeom prst="rect">
                      <a:avLst/>
                    </a:prstGeom>
                    <a:noFill/>
                    <a:ln>
                      <a:noFill/>
                    </a:ln>
                  </pic:spPr>
                </pic:pic>
              </a:graphicData>
            </a:graphic>
          </wp:inline>
        </w:drawing>
      </w:r>
    </w:p>
    <w:sectPr w:rsidR="00E56ED5" w:rsidRPr="00BA0F0F" w:rsidSect="00FF3591">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1DEA" w14:textId="77777777" w:rsidR="00A618CD" w:rsidRDefault="00A618CD" w:rsidP="00CC58E9">
      <w:pPr>
        <w:spacing w:after="0" w:line="240" w:lineRule="auto"/>
      </w:pPr>
      <w:r>
        <w:separator/>
      </w:r>
    </w:p>
  </w:endnote>
  <w:endnote w:type="continuationSeparator" w:id="0">
    <w:p w14:paraId="27FBA12F" w14:textId="77777777" w:rsidR="00A618CD" w:rsidRDefault="00A618CD" w:rsidP="00CC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E9E3" w14:textId="77777777" w:rsidR="00C5641F" w:rsidRDefault="00C56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41FF" w14:textId="39183D56" w:rsidR="000A2C30" w:rsidRPr="00C5641F" w:rsidRDefault="000A2C30" w:rsidP="000A2C30">
    <w:pPr>
      <w:spacing w:after="0" w:line="240" w:lineRule="auto"/>
      <w:rPr>
        <w:sz w:val="16"/>
        <w:szCs w:val="16"/>
      </w:rPr>
    </w:pPr>
    <w:r w:rsidRPr="00C5641F">
      <w:rPr>
        <w:sz w:val="16"/>
        <w:szCs w:val="16"/>
      </w:rPr>
      <w:t>Minnesota School Forest Program</w:t>
    </w:r>
  </w:p>
  <w:p w14:paraId="06412610" w14:textId="71F5E195" w:rsidR="000A2C30" w:rsidRPr="00C5641F" w:rsidRDefault="000A2C30" w:rsidP="000A2C30">
    <w:pPr>
      <w:spacing w:after="0" w:line="240" w:lineRule="auto"/>
      <w:rPr>
        <w:sz w:val="16"/>
        <w:szCs w:val="16"/>
      </w:rPr>
    </w:pPr>
    <w:r w:rsidRPr="00C5641F">
      <w:rPr>
        <w:sz w:val="16"/>
        <w:szCs w:val="16"/>
      </w:rPr>
      <w:t>MN DNR is an Equal Opportunity Employer</w:t>
    </w:r>
  </w:p>
  <w:p w14:paraId="183308A0" w14:textId="77777777" w:rsidR="000A2C30" w:rsidRDefault="000A2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2EAE" w14:textId="77777777" w:rsidR="00C5641F" w:rsidRDefault="00C56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1AE98" w14:textId="77777777" w:rsidR="00A618CD" w:rsidRDefault="00A618CD" w:rsidP="00CC58E9">
      <w:pPr>
        <w:spacing w:after="0" w:line="240" w:lineRule="auto"/>
      </w:pPr>
      <w:r>
        <w:separator/>
      </w:r>
    </w:p>
  </w:footnote>
  <w:footnote w:type="continuationSeparator" w:id="0">
    <w:p w14:paraId="36667076" w14:textId="77777777" w:rsidR="00A618CD" w:rsidRDefault="00A618CD" w:rsidP="00CC5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0E56" w14:textId="77777777" w:rsidR="00C5641F" w:rsidRDefault="00C56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6E36" w14:textId="77777777" w:rsidR="00C27C56" w:rsidRDefault="00C27C56" w:rsidP="00C27C56">
    <w:pPr>
      <w:pStyle w:val="Header"/>
      <w:jc w:val="center"/>
      <w:rPr>
        <w:sz w:val="20"/>
        <w:szCs w:val="20"/>
      </w:rPr>
    </w:pPr>
  </w:p>
  <w:p w14:paraId="4598E043" w14:textId="77777777" w:rsidR="001A03BC" w:rsidRDefault="001A03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F33B" w14:textId="77777777" w:rsidR="00085208" w:rsidRDefault="00085208" w:rsidP="000852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3814"/>
    <w:multiLevelType w:val="hybridMultilevel"/>
    <w:tmpl w:val="CF02FD98"/>
    <w:lvl w:ilvl="0" w:tplc="C2E457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F1304"/>
    <w:multiLevelType w:val="hybridMultilevel"/>
    <w:tmpl w:val="6C709C60"/>
    <w:lvl w:ilvl="0" w:tplc="5AF4C9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54222"/>
    <w:multiLevelType w:val="hybridMultilevel"/>
    <w:tmpl w:val="BDD07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E4647"/>
    <w:multiLevelType w:val="hybridMultilevel"/>
    <w:tmpl w:val="B290C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B28DC"/>
    <w:multiLevelType w:val="hybridMultilevel"/>
    <w:tmpl w:val="66E82F78"/>
    <w:lvl w:ilvl="0" w:tplc="5AF4C9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B2B4A"/>
    <w:multiLevelType w:val="hybridMultilevel"/>
    <w:tmpl w:val="B0401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00AAF"/>
    <w:multiLevelType w:val="hybridMultilevel"/>
    <w:tmpl w:val="2A08F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80209"/>
    <w:multiLevelType w:val="hybridMultilevel"/>
    <w:tmpl w:val="98406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54706">
    <w:abstractNumId w:val="1"/>
  </w:num>
  <w:num w:numId="2" w16cid:durableId="274756526">
    <w:abstractNumId w:val="4"/>
  </w:num>
  <w:num w:numId="3" w16cid:durableId="832642460">
    <w:abstractNumId w:val="5"/>
  </w:num>
  <w:num w:numId="4" w16cid:durableId="1298221742">
    <w:abstractNumId w:val="3"/>
  </w:num>
  <w:num w:numId="5" w16cid:durableId="1723290005">
    <w:abstractNumId w:val="2"/>
  </w:num>
  <w:num w:numId="6" w16cid:durableId="1952667123">
    <w:abstractNumId w:val="7"/>
  </w:num>
  <w:num w:numId="7" w16cid:durableId="1180201014">
    <w:abstractNumId w:val="6"/>
  </w:num>
  <w:num w:numId="8" w16cid:durableId="116300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E9"/>
    <w:rsid w:val="00085208"/>
    <w:rsid w:val="00090EB5"/>
    <w:rsid w:val="000A2C30"/>
    <w:rsid w:val="00110F05"/>
    <w:rsid w:val="00173B0B"/>
    <w:rsid w:val="001823F5"/>
    <w:rsid w:val="001A03BC"/>
    <w:rsid w:val="001C1F30"/>
    <w:rsid w:val="002F206D"/>
    <w:rsid w:val="003527B1"/>
    <w:rsid w:val="00491CB6"/>
    <w:rsid w:val="004E5968"/>
    <w:rsid w:val="005A0FA9"/>
    <w:rsid w:val="006525D0"/>
    <w:rsid w:val="006D46D2"/>
    <w:rsid w:val="007C774B"/>
    <w:rsid w:val="00877C1A"/>
    <w:rsid w:val="008D65AA"/>
    <w:rsid w:val="00911E57"/>
    <w:rsid w:val="0095344C"/>
    <w:rsid w:val="00984E43"/>
    <w:rsid w:val="00A40DB2"/>
    <w:rsid w:val="00A618CD"/>
    <w:rsid w:val="00A62351"/>
    <w:rsid w:val="00A81446"/>
    <w:rsid w:val="00BA0F0F"/>
    <w:rsid w:val="00BB616E"/>
    <w:rsid w:val="00C2579B"/>
    <w:rsid w:val="00C27C56"/>
    <w:rsid w:val="00C5641F"/>
    <w:rsid w:val="00CB4FAC"/>
    <w:rsid w:val="00CC58E9"/>
    <w:rsid w:val="00CF7A49"/>
    <w:rsid w:val="00D20C75"/>
    <w:rsid w:val="00D5381C"/>
    <w:rsid w:val="00DC11C5"/>
    <w:rsid w:val="00E07B00"/>
    <w:rsid w:val="00E56ED5"/>
    <w:rsid w:val="00EC26EF"/>
    <w:rsid w:val="00F21167"/>
    <w:rsid w:val="00F376B4"/>
    <w:rsid w:val="00F4011B"/>
    <w:rsid w:val="00FA40C7"/>
    <w:rsid w:val="00FB6E41"/>
    <w:rsid w:val="00FC1964"/>
    <w:rsid w:val="00FF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BA0FE"/>
  <w15:docId w15:val="{2ED13393-719A-45D6-9B56-2139DDE1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8E9"/>
    <w:rPr>
      <w:color w:val="0000FF"/>
      <w:u w:val="single"/>
    </w:rPr>
  </w:style>
  <w:style w:type="paragraph" w:styleId="BalloonText">
    <w:name w:val="Balloon Text"/>
    <w:basedOn w:val="Normal"/>
    <w:link w:val="BalloonTextChar"/>
    <w:uiPriority w:val="99"/>
    <w:semiHidden/>
    <w:unhideWhenUsed/>
    <w:rsid w:val="00CC5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8E9"/>
    <w:rPr>
      <w:rFonts w:ascii="Tahoma" w:hAnsi="Tahoma" w:cs="Tahoma"/>
      <w:sz w:val="16"/>
      <w:szCs w:val="16"/>
    </w:rPr>
  </w:style>
  <w:style w:type="paragraph" w:styleId="Header">
    <w:name w:val="header"/>
    <w:basedOn w:val="Normal"/>
    <w:link w:val="HeaderChar"/>
    <w:uiPriority w:val="99"/>
    <w:unhideWhenUsed/>
    <w:rsid w:val="00CC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8E9"/>
  </w:style>
  <w:style w:type="paragraph" w:styleId="Footer">
    <w:name w:val="footer"/>
    <w:basedOn w:val="Normal"/>
    <w:link w:val="FooterChar"/>
    <w:uiPriority w:val="99"/>
    <w:unhideWhenUsed/>
    <w:rsid w:val="00CC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8E9"/>
  </w:style>
  <w:style w:type="paragraph" w:styleId="ListParagraph">
    <w:name w:val="List Paragraph"/>
    <w:basedOn w:val="Normal"/>
    <w:uiPriority w:val="34"/>
    <w:qFormat/>
    <w:rsid w:val="001C1F30"/>
    <w:pPr>
      <w:ind w:left="720"/>
      <w:contextualSpacing/>
    </w:pPr>
  </w:style>
  <w:style w:type="character" w:styleId="FollowedHyperlink">
    <w:name w:val="FollowedHyperlink"/>
    <w:basedOn w:val="DefaultParagraphFont"/>
    <w:uiPriority w:val="99"/>
    <w:semiHidden/>
    <w:unhideWhenUsed/>
    <w:rsid w:val="00FB6E41"/>
    <w:rPr>
      <w:color w:val="800080" w:themeColor="followedHyperlink"/>
      <w:u w:val="single"/>
    </w:rPr>
  </w:style>
  <w:style w:type="table" w:styleId="TableGrid">
    <w:name w:val="Table Grid"/>
    <w:basedOn w:val="TableNormal"/>
    <w:uiPriority w:val="59"/>
    <w:rsid w:val="00D20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11E57"/>
    <w:pPr>
      <w:pBdr>
        <w:bottom w:val="single" w:sz="8" w:space="4" w:color="4F81BD" w:themeColor="accent1"/>
      </w:pBdr>
      <w:spacing w:after="300" w:line="240" w:lineRule="auto"/>
      <w:contextualSpacing/>
    </w:pPr>
    <w:rPr>
      <w:rFonts w:ascii="Arial" w:eastAsiaTheme="majorEastAsia" w:hAnsi="Arial" w:cstheme="majorBidi"/>
      <w:b/>
      <w:color w:val="984806" w:themeColor="accent6" w:themeShade="80"/>
      <w:spacing w:val="5"/>
      <w:kern w:val="28"/>
      <w:sz w:val="32"/>
      <w:szCs w:val="52"/>
    </w:rPr>
  </w:style>
  <w:style w:type="character" w:customStyle="1" w:styleId="TitleChar">
    <w:name w:val="Title Char"/>
    <w:basedOn w:val="DefaultParagraphFont"/>
    <w:link w:val="Title"/>
    <w:uiPriority w:val="10"/>
    <w:rsid w:val="00911E57"/>
    <w:rPr>
      <w:rFonts w:ascii="Arial" w:eastAsiaTheme="majorEastAsia" w:hAnsi="Arial" w:cstheme="majorBidi"/>
      <w:b/>
      <w:color w:val="984806" w:themeColor="accent6" w:themeShade="80"/>
      <w:spacing w:val="5"/>
      <w:kern w:val="28"/>
      <w:sz w:val="32"/>
      <w:szCs w:val="52"/>
    </w:rPr>
  </w:style>
  <w:style w:type="character" w:styleId="CommentReference">
    <w:name w:val="annotation reference"/>
    <w:basedOn w:val="DefaultParagraphFont"/>
    <w:uiPriority w:val="99"/>
    <w:semiHidden/>
    <w:unhideWhenUsed/>
    <w:rsid w:val="00F21167"/>
    <w:rPr>
      <w:sz w:val="16"/>
      <w:szCs w:val="16"/>
    </w:rPr>
  </w:style>
  <w:style w:type="paragraph" w:styleId="CommentText">
    <w:name w:val="annotation text"/>
    <w:basedOn w:val="Normal"/>
    <w:link w:val="CommentTextChar"/>
    <w:uiPriority w:val="99"/>
    <w:semiHidden/>
    <w:unhideWhenUsed/>
    <w:rsid w:val="00F21167"/>
    <w:pPr>
      <w:spacing w:line="240" w:lineRule="auto"/>
    </w:pPr>
    <w:rPr>
      <w:sz w:val="20"/>
      <w:szCs w:val="20"/>
    </w:rPr>
  </w:style>
  <w:style w:type="character" w:customStyle="1" w:styleId="CommentTextChar">
    <w:name w:val="Comment Text Char"/>
    <w:basedOn w:val="DefaultParagraphFont"/>
    <w:link w:val="CommentText"/>
    <w:uiPriority w:val="99"/>
    <w:semiHidden/>
    <w:rsid w:val="00F21167"/>
    <w:rPr>
      <w:sz w:val="20"/>
      <w:szCs w:val="20"/>
    </w:rPr>
  </w:style>
  <w:style w:type="paragraph" w:styleId="CommentSubject">
    <w:name w:val="annotation subject"/>
    <w:basedOn w:val="CommentText"/>
    <w:next w:val="CommentText"/>
    <w:link w:val="CommentSubjectChar"/>
    <w:uiPriority w:val="99"/>
    <w:semiHidden/>
    <w:unhideWhenUsed/>
    <w:rsid w:val="00F21167"/>
    <w:rPr>
      <w:b/>
      <w:bCs/>
    </w:rPr>
  </w:style>
  <w:style w:type="character" w:customStyle="1" w:styleId="CommentSubjectChar">
    <w:name w:val="Comment Subject Char"/>
    <w:basedOn w:val="CommentTextChar"/>
    <w:link w:val="CommentSubject"/>
    <w:uiPriority w:val="99"/>
    <w:semiHidden/>
    <w:rsid w:val="00F211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441921">
      <w:bodyDiv w:val="1"/>
      <w:marLeft w:val="0"/>
      <w:marRight w:val="0"/>
      <w:marTop w:val="0"/>
      <w:marBottom w:val="0"/>
      <w:divBdr>
        <w:top w:val="none" w:sz="0" w:space="0" w:color="auto"/>
        <w:left w:val="none" w:sz="0" w:space="0" w:color="auto"/>
        <w:bottom w:val="none" w:sz="0" w:space="0" w:color="auto"/>
        <w:right w:val="none" w:sz="0" w:space="0" w:color="auto"/>
      </w:divBdr>
    </w:div>
    <w:div w:id="153507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ndnr.gov/schoolfores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C73BA-D751-4B79-A668-89F94708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Ecosystems in the School Forest</vt:lpstr>
    </vt:vector>
  </TitlesOfParts>
  <Manager>Karen Harrison</Manager>
  <Company>MN Dept Of Natural Resources</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Twig Observation Match Game</dc:title>
  <dc:creator>Cindy Prestegaard</dc:creator>
  <cp:keywords>Minnesota School Forest Program</cp:keywords>
  <cp:lastModifiedBy>Duffey, Laura (DNR)</cp:lastModifiedBy>
  <cp:revision>2</cp:revision>
  <cp:lastPrinted>2013-01-31T16:46:00Z</cp:lastPrinted>
  <dcterms:created xsi:type="dcterms:W3CDTF">2023-03-03T20:26:00Z</dcterms:created>
  <dcterms:modified xsi:type="dcterms:W3CDTF">2023-03-03T20:26:00Z</dcterms:modified>
</cp:coreProperties>
</file>