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1" w:rsidRPr="008E62D8" w:rsidRDefault="00D03204" w:rsidP="008E62D8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C860E9" wp14:editId="513ABA97">
            <wp:simplePos x="0" y="0"/>
            <wp:positionH relativeFrom="column">
              <wp:posOffset>4686300</wp:posOffset>
            </wp:positionH>
            <wp:positionV relativeFrom="paragraph">
              <wp:posOffset>19050</wp:posOffset>
            </wp:positionV>
            <wp:extent cx="1238885" cy="853440"/>
            <wp:effectExtent l="0" t="0" r="0" b="3810"/>
            <wp:wrapThrough wrapText="bothSides">
              <wp:wrapPolygon edited="0">
                <wp:start x="4650" y="0"/>
                <wp:lineTo x="4650" y="1446"/>
                <wp:lineTo x="6643" y="7714"/>
                <wp:lineTo x="0" y="10607"/>
                <wp:lineTo x="0" y="15429"/>
                <wp:lineTo x="1993" y="15429"/>
                <wp:lineTo x="0" y="16875"/>
                <wp:lineTo x="0" y="18321"/>
                <wp:lineTo x="7639" y="21214"/>
                <wp:lineTo x="13618" y="21214"/>
                <wp:lineTo x="21257" y="18804"/>
                <wp:lineTo x="21257" y="10607"/>
                <wp:lineTo x="14946" y="7714"/>
                <wp:lineTo x="16939" y="1446"/>
                <wp:lineTo x="16607" y="0"/>
                <wp:lineTo x="46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A%2520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50BA5" wp14:editId="236C9C26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1219200" cy="737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black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67F11" w:rsidRDefault="00206340" w:rsidP="00A67F11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8F28F4">
        <w:rPr>
          <w:b/>
          <w:sz w:val="32"/>
          <w:szCs w:val="32"/>
        </w:rPr>
        <w:t>Drinking Water Revolving Fund</w:t>
      </w:r>
      <w:r w:rsidR="008F28F4" w:rsidRPr="008F28F4">
        <w:rPr>
          <w:b/>
          <w:sz w:val="32"/>
          <w:szCs w:val="32"/>
        </w:rPr>
        <w:t xml:space="preserve"> (DWRF)</w:t>
      </w:r>
      <w:r w:rsidR="00D03204">
        <w:rPr>
          <w:b/>
          <w:sz w:val="32"/>
          <w:szCs w:val="32"/>
        </w:rPr>
        <w:t xml:space="preserve"> Basics</w:t>
      </w:r>
    </w:p>
    <w:bookmarkEnd w:id="0"/>
    <w:p w:rsidR="00B96D01" w:rsidRPr="00CC1711" w:rsidRDefault="00B96D01" w:rsidP="008F28F4">
      <w:pPr>
        <w:spacing w:after="0"/>
        <w:jc w:val="center"/>
        <w:rPr>
          <w:b/>
          <w:sz w:val="16"/>
          <w:szCs w:val="16"/>
        </w:rPr>
      </w:pPr>
    </w:p>
    <w:p w:rsidR="00B96D01" w:rsidRPr="00276F23" w:rsidRDefault="00B96D01" w:rsidP="00B96D01">
      <w:pPr>
        <w:spacing w:after="0"/>
        <w:rPr>
          <w:b/>
          <w:sz w:val="24"/>
          <w:szCs w:val="24"/>
        </w:rPr>
      </w:pPr>
      <w:r w:rsidRPr="00276F23">
        <w:rPr>
          <w:b/>
          <w:sz w:val="24"/>
          <w:szCs w:val="24"/>
        </w:rPr>
        <w:t>Important Acronyms</w:t>
      </w:r>
    </w:p>
    <w:p w:rsidR="00B96D01" w:rsidRPr="00CC1711" w:rsidRDefault="00B96D01" w:rsidP="00B96D01">
      <w:pPr>
        <w:spacing w:after="0"/>
        <w:rPr>
          <w:sz w:val="16"/>
          <w:szCs w:val="16"/>
        </w:rPr>
      </w:pPr>
    </w:p>
    <w:p w:rsidR="00FD1C97" w:rsidRDefault="00FD1C97" w:rsidP="00FD1C97">
      <w:pPr>
        <w:tabs>
          <w:tab w:val="left" w:pos="47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AIS – American Iron &amp; Steel</w:t>
      </w:r>
      <w:r>
        <w:rPr>
          <w:sz w:val="24"/>
          <w:szCs w:val="24"/>
        </w:rPr>
        <w:tab/>
        <w:t>DBE – Disadvantaged Business Enterprise</w:t>
      </w:r>
    </w:p>
    <w:p w:rsidR="00FD1C97" w:rsidRDefault="00B96D01" w:rsidP="00FD1C97">
      <w:pPr>
        <w:tabs>
          <w:tab w:val="left" w:pos="4770"/>
        </w:tabs>
        <w:spacing w:after="0"/>
        <w:rPr>
          <w:sz w:val="24"/>
          <w:szCs w:val="24"/>
        </w:rPr>
      </w:pPr>
      <w:r w:rsidRPr="00276F23">
        <w:rPr>
          <w:sz w:val="24"/>
          <w:szCs w:val="24"/>
        </w:rPr>
        <w:t>DWRF – Drinking Water Revolving Fund</w:t>
      </w:r>
      <w:r w:rsidR="00FD1C97">
        <w:rPr>
          <w:sz w:val="24"/>
          <w:szCs w:val="24"/>
        </w:rPr>
        <w:tab/>
        <w:t>ER – Environmental Review</w:t>
      </w:r>
      <w:r w:rsidR="00FD1C97">
        <w:rPr>
          <w:sz w:val="24"/>
          <w:szCs w:val="24"/>
        </w:rPr>
        <w:tab/>
      </w:r>
      <w:r w:rsidR="00FD1C97">
        <w:rPr>
          <w:sz w:val="24"/>
          <w:szCs w:val="24"/>
        </w:rPr>
        <w:tab/>
      </w:r>
    </w:p>
    <w:p w:rsidR="00FD1C97" w:rsidRDefault="00B96D01" w:rsidP="00FD1C97">
      <w:pPr>
        <w:tabs>
          <w:tab w:val="left" w:pos="4770"/>
        </w:tabs>
        <w:spacing w:after="0"/>
        <w:rPr>
          <w:sz w:val="24"/>
          <w:szCs w:val="24"/>
        </w:rPr>
      </w:pPr>
      <w:r w:rsidRPr="00276F23">
        <w:rPr>
          <w:sz w:val="24"/>
          <w:szCs w:val="24"/>
        </w:rPr>
        <w:t>IUP – Intended Use Plan</w:t>
      </w:r>
      <w:r w:rsidR="00FD1C97">
        <w:rPr>
          <w:sz w:val="24"/>
          <w:szCs w:val="24"/>
        </w:rPr>
        <w:tab/>
      </w:r>
      <w:r w:rsidRPr="00276F23">
        <w:rPr>
          <w:sz w:val="24"/>
          <w:szCs w:val="24"/>
        </w:rPr>
        <w:t>MDH –</w:t>
      </w:r>
      <w:r w:rsidR="00FD1C97">
        <w:rPr>
          <w:sz w:val="24"/>
          <w:szCs w:val="24"/>
        </w:rPr>
        <w:t xml:space="preserve"> Minnesota Department of Health</w:t>
      </w:r>
    </w:p>
    <w:p w:rsidR="00B96D01" w:rsidRPr="00276F23" w:rsidRDefault="00FD1C97" w:rsidP="00FD1C97">
      <w:pPr>
        <w:tabs>
          <w:tab w:val="left" w:pos="47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96D01" w:rsidRPr="00276F23">
        <w:rPr>
          <w:sz w:val="24"/>
          <w:szCs w:val="24"/>
        </w:rPr>
        <w:t>FA – Public Facilities Authority</w:t>
      </w:r>
      <w:r>
        <w:rPr>
          <w:sz w:val="24"/>
          <w:szCs w:val="24"/>
        </w:rPr>
        <w:tab/>
      </w:r>
      <w:r w:rsidR="00B96D01" w:rsidRPr="00276F23">
        <w:rPr>
          <w:sz w:val="24"/>
          <w:szCs w:val="24"/>
        </w:rPr>
        <w:t>PPL – Project Priority List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Pr="008F28F4" w:rsidRDefault="00CF36D2" w:rsidP="00206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DWRF</w:t>
      </w:r>
      <w:r w:rsidR="00206340" w:rsidRPr="008F28F4">
        <w:rPr>
          <w:b/>
          <w:sz w:val="24"/>
          <w:szCs w:val="24"/>
        </w:rPr>
        <w:t>?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Pr="008F28F4" w:rsidRDefault="00D03204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>DWRF is</w:t>
      </w:r>
      <w:r w:rsidR="008F28F4">
        <w:rPr>
          <w:sz w:val="24"/>
          <w:szCs w:val="24"/>
        </w:rPr>
        <w:t xml:space="preserve"> a b</w:t>
      </w:r>
      <w:r w:rsidR="00206340" w:rsidRPr="008F28F4">
        <w:rPr>
          <w:sz w:val="24"/>
          <w:szCs w:val="24"/>
        </w:rPr>
        <w:t xml:space="preserve">elow market rate loan program with some </w:t>
      </w:r>
      <w:r>
        <w:rPr>
          <w:sz w:val="24"/>
          <w:szCs w:val="24"/>
        </w:rPr>
        <w:t xml:space="preserve">potential for </w:t>
      </w:r>
      <w:r w:rsidR="00206340" w:rsidRPr="008F28F4">
        <w:rPr>
          <w:sz w:val="24"/>
          <w:szCs w:val="24"/>
        </w:rPr>
        <w:t xml:space="preserve">principal forgiveness based on </w:t>
      </w:r>
      <w:r w:rsidR="008F28F4">
        <w:rPr>
          <w:sz w:val="24"/>
          <w:szCs w:val="24"/>
        </w:rPr>
        <w:t xml:space="preserve">set </w:t>
      </w:r>
      <w:r w:rsidR="00206340" w:rsidRPr="008F28F4">
        <w:rPr>
          <w:sz w:val="24"/>
          <w:szCs w:val="24"/>
        </w:rPr>
        <w:t>affordability criteria.</w:t>
      </w:r>
      <w:r w:rsidR="008F28F4" w:rsidRPr="008F28F4">
        <w:rPr>
          <w:sz w:val="24"/>
          <w:szCs w:val="24"/>
        </w:rPr>
        <w:t xml:space="preserve">  Technical components </w:t>
      </w:r>
      <w:r w:rsidR="008F28F4">
        <w:rPr>
          <w:sz w:val="24"/>
          <w:szCs w:val="24"/>
        </w:rPr>
        <w:t xml:space="preserve">(plan review, environmental review, operator certification, etc.) </w:t>
      </w:r>
      <w:r w:rsidR="008F28F4" w:rsidRPr="008F28F4">
        <w:rPr>
          <w:sz w:val="24"/>
          <w:szCs w:val="24"/>
        </w:rPr>
        <w:t>are managed by the Minnesota Department of Health (MDH).  Financial components are handled by Public Facilities Authority (PFA).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Pr="008F28F4" w:rsidRDefault="00206340" w:rsidP="00206340">
      <w:pPr>
        <w:spacing w:after="0"/>
        <w:rPr>
          <w:b/>
          <w:sz w:val="24"/>
          <w:szCs w:val="24"/>
        </w:rPr>
      </w:pPr>
      <w:r w:rsidRPr="008F28F4">
        <w:rPr>
          <w:b/>
          <w:sz w:val="24"/>
          <w:szCs w:val="24"/>
        </w:rPr>
        <w:t>Who is Eligible?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Pr="008F28F4" w:rsidRDefault="00206340" w:rsidP="00206340">
      <w:pPr>
        <w:spacing w:after="0"/>
        <w:rPr>
          <w:sz w:val="24"/>
          <w:szCs w:val="24"/>
        </w:rPr>
      </w:pPr>
      <w:r w:rsidRPr="008F28F4">
        <w:rPr>
          <w:sz w:val="24"/>
          <w:szCs w:val="24"/>
        </w:rPr>
        <w:t xml:space="preserve">Community Public Water Supplies </w:t>
      </w:r>
      <w:r w:rsidR="008F28F4" w:rsidRPr="008F28F4">
        <w:rPr>
          <w:sz w:val="24"/>
          <w:szCs w:val="24"/>
        </w:rPr>
        <w:t>(</w:t>
      </w:r>
      <w:r w:rsidRPr="008F28F4">
        <w:rPr>
          <w:sz w:val="24"/>
          <w:szCs w:val="24"/>
        </w:rPr>
        <w:t>typically municipa</w:t>
      </w:r>
      <w:r w:rsidR="008F28F4" w:rsidRPr="008F28F4">
        <w:rPr>
          <w:sz w:val="24"/>
          <w:szCs w:val="24"/>
        </w:rPr>
        <w:t xml:space="preserve">lities with </w:t>
      </w:r>
      <w:r w:rsidRPr="008F28F4">
        <w:rPr>
          <w:sz w:val="24"/>
          <w:szCs w:val="24"/>
        </w:rPr>
        <w:t>projects greater than $100,000</w:t>
      </w:r>
      <w:r w:rsidR="008F28F4" w:rsidRPr="008F28F4">
        <w:rPr>
          <w:sz w:val="24"/>
          <w:szCs w:val="24"/>
        </w:rPr>
        <w:t>)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Pr="008F28F4" w:rsidRDefault="00206340" w:rsidP="00206340">
      <w:pPr>
        <w:spacing w:after="0"/>
        <w:rPr>
          <w:b/>
          <w:sz w:val="24"/>
          <w:szCs w:val="24"/>
        </w:rPr>
      </w:pPr>
      <w:r w:rsidRPr="008F28F4">
        <w:rPr>
          <w:b/>
          <w:sz w:val="24"/>
          <w:szCs w:val="24"/>
        </w:rPr>
        <w:t>What type</w:t>
      </w:r>
      <w:r w:rsidR="008F28F4">
        <w:rPr>
          <w:b/>
          <w:sz w:val="24"/>
          <w:szCs w:val="24"/>
        </w:rPr>
        <w:t>s</w:t>
      </w:r>
      <w:r w:rsidRPr="008F28F4">
        <w:rPr>
          <w:b/>
          <w:sz w:val="24"/>
          <w:szCs w:val="24"/>
        </w:rPr>
        <w:t xml:space="preserve"> of projects are typically funded?</w:t>
      </w:r>
    </w:p>
    <w:p w:rsidR="00206340" w:rsidRPr="00D03204" w:rsidRDefault="00206340" w:rsidP="00206340">
      <w:pPr>
        <w:spacing w:after="0"/>
        <w:rPr>
          <w:sz w:val="16"/>
          <w:szCs w:val="16"/>
        </w:rPr>
      </w:pPr>
    </w:p>
    <w:p w:rsidR="00206340" w:rsidRDefault="008E62D8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Drinking Water Infrastructure which includes but is not limited to: </w:t>
      </w:r>
      <w:r w:rsidR="00206340" w:rsidRPr="008F28F4">
        <w:rPr>
          <w:sz w:val="24"/>
          <w:szCs w:val="24"/>
        </w:rPr>
        <w:t xml:space="preserve">Wells, </w:t>
      </w:r>
      <w:proofErr w:type="spellStart"/>
      <w:r w:rsidR="00206340" w:rsidRPr="008F28F4">
        <w:rPr>
          <w:sz w:val="24"/>
          <w:szCs w:val="24"/>
        </w:rPr>
        <w:t>Pumphouses</w:t>
      </w:r>
      <w:proofErr w:type="spellEnd"/>
      <w:r w:rsidR="00206340" w:rsidRPr="008F28F4">
        <w:rPr>
          <w:sz w:val="24"/>
          <w:szCs w:val="24"/>
        </w:rPr>
        <w:t>, Treatment Plants, Storage Tanks, Watermain, Generators</w:t>
      </w:r>
      <w:r>
        <w:rPr>
          <w:sz w:val="24"/>
          <w:szCs w:val="24"/>
        </w:rPr>
        <w:t xml:space="preserve"> and Water Meters</w:t>
      </w:r>
    </w:p>
    <w:p w:rsidR="008F28F4" w:rsidRPr="00D03204" w:rsidRDefault="008F28F4" w:rsidP="00206340">
      <w:pPr>
        <w:spacing w:after="0"/>
        <w:rPr>
          <w:sz w:val="16"/>
          <w:szCs w:val="16"/>
        </w:rPr>
      </w:pPr>
    </w:p>
    <w:p w:rsidR="008F28F4" w:rsidRPr="00F20F3F" w:rsidRDefault="008F28F4" w:rsidP="00206340">
      <w:pPr>
        <w:spacing w:after="0"/>
        <w:rPr>
          <w:b/>
          <w:sz w:val="24"/>
          <w:szCs w:val="24"/>
        </w:rPr>
      </w:pPr>
      <w:r w:rsidRPr="00F20F3F">
        <w:rPr>
          <w:b/>
          <w:sz w:val="24"/>
          <w:szCs w:val="24"/>
        </w:rPr>
        <w:t>How to apply?</w:t>
      </w:r>
    </w:p>
    <w:p w:rsidR="008F28F4" w:rsidRPr="00D03204" w:rsidRDefault="008F28F4" w:rsidP="00206340">
      <w:pPr>
        <w:spacing w:after="0"/>
        <w:rPr>
          <w:sz w:val="16"/>
          <w:szCs w:val="16"/>
        </w:rPr>
      </w:pPr>
    </w:p>
    <w:p w:rsidR="00126315" w:rsidRDefault="008F28F4" w:rsidP="00206340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Submit a proposal to </w:t>
      </w:r>
      <w:r w:rsidR="00F20F3F">
        <w:rPr>
          <w:sz w:val="24"/>
          <w:szCs w:val="24"/>
        </w:rPr>
        <w:t xml:space="preserve">be placed on the Project Priority List (PPL) by the </w:t>
      </w:r>
      <w:r w:rsidR="00F20F3F" w:rsidRPr="00C92C80">
        <w:rPr>
          <w:b/>
          <w:sz w:val="24"/>
          <w:szCs w:val="24"/>
        </w:rPr>
        <w:t>first Friday in May</w:t>
      </w:r>
      <w:r w:rsidR="00F20F3F">
        <w:rPr>
          <w:sz w:val="24"/>
          <w:szCs w:val="24"/>
        </w:rPr>
        <w:t xml:space="preserve">.  An example proposal can be found at:  </w:t>
      </w:r>
      <w:hyperlink r:id="rId6" w:history="1">
        <w:r w:rsidR="00F20F3F" w:rsidRPr="001A07C7">
          <w:rPr>
            <w:rStyle w:val="Hyperlink"/>
            <w:sz w:val="24"/>
            <w:szCs w:val="24"/>
          </w:rPr>
          <w:t>http://www.health.state.mn.us/divs/eh/water/dwrf/ppl/index.html</w:t>
        </w:r>
      </w:hyperlink>
    </w:p>
    <w:p w:rsidR="00F20F3F" w:rsidRPr="00D03204" w:rsidRDefault="00F20F3F" w:rsidP="00206340">
      <w:pPr>
        <w:spacing w:after="0"/>
        <w:rPr>
          <w:sz w:val="16"/>
          <w:szCs w:val="16"/>
        </w:rPr>
      </w:pPr>
    </w:p>
    <w:p w:rsidR="00F20F3F" w:rsidRPr="00171FE3" w:rsidRDefault="00F20F3F" w:rsidP="00206340">
      <w:pPr>
        <w:spacing w:after="0"/>
        <w:rPr>
          <w:b/>
          <w:sz w:val="24"/>
          <w:szCs w:val="24"/>
        </w:rPr>
      </w:pPr>
      <w:r w:rsidRPr="00171FE3">
        <w:rPr>
          <w:b/>
          <w:sz w:val="24"/>
          <w:szCs w:val="24"/>
        </w:rPr>
        <w:t>What is the Project Priority List (PPL)?</w:t>
      </w:r>
    </w:p>
    <w:p w:rsidR="00F20F3F" w:rsidRPr="00D03204" w:rsidRDefault="00F20F3F" w:rsidP="00206340">
      <w:pPr>
        <w:spacing w:after="0"/>
        <w:rPr>
          <w:sz w:val="16"/>
          <w:szCs w:val="16"/>
        </w:rPr>
      </w:pPr>
    </w:p>
    <w:p w:rsidR="00F20F3F" w:rsidRDefault="00FD1C97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PPL is a l</w:t>
      </w:r>
      <w:r w:rsidR="00F20F3F">
        <w:rPr>
          <w:sz w:val="24"/>
          <w:szCs w:val="24"/>
        </w:rPr>
        <w:t>ist of eligible project</w:t>
      </w:r>
      <w:r w:rsidR="00171FE3">
        <w:rPr>
          <w:sz w:val="24"/>
          <w:szCs w:val="24"/>
        </w:rPr>
        <w:t>s</w:t>
      </w:r>
      <w:r w:rsidR="00F20F3F">
        <w:rPr>
          <w:sz w:val="24"/>
          <w:szCs w:val="24"/>
        </w:rPr>
        <w:t xml:space="preserve"> ranked in priority order</w:t>
      </w:r>
      <w:r w:rsidR="00126315">
        <w:rPr>
          <w:sz w:val="24"/>
          <w:szCs w:val="24"/>
        </w:rPr>
        <w:t xml:space="preserve"> by MDH</w:t>
      </w:r>
      <w:r w:rsidR="00F20F3F">
        <w:rPr>
          <w:sz w:val="24"/>
          <w:szCs w:val="24"/>
        </w:rPr>
        <w:t>.  Priority is given to projects in the following order:</w:t>
      </w:r>
    </w:p>
    <w:p w:rsidR="00F20F3F" w:rsidRDefault="00F20F3F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Public Health Protection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MCL </w:t>
      </w:r>
      <w:r w:rsidR="00171FE3">
        <w:rPr>
          <w:sz w:val="24"/>
          <w:szCs w:val="24"/>
        </w:rPr>
        <w:t>violations</w:t>
      </w:r>
      <w:r>
        <w:rPr>
          <w:sz w:val="24"/>
          <w:szCs w:val="24"/>
        </w:rPr>
        <w:t>)</w:t>
      </w:r>
    </w:p>
    <w:p w:rsidR="00F20F3F" w:rsidRDefault="00F20F3F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171FE3">
        <w:rPr>
          <w:sz w:val="24"/>
          <w:szCs w:val="24"/>
        </w:rPr>
        <w:t>Inadequate Water Supply</w:t>
      </w:r>
    </w:p>
    <w:p w:rsidR="00F20F3F" w:rsidRDefault="00F20F3F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Financial Need</w:t>
      </w:r>
      <w:r w:rsidR="00171FE3">
        <w:rPr>
          <w:sz w:val="24"/>
          <w:szCs w:val="24"/>
        </w:rPr>
        <w:t xml:space="preserve"> (b</w:t>
      </w:r>
      <w:r w:rsidR="008E62D8">
        <w:rPr>
          <w:sz w:val="24"/>
          <w:szCs w:val="24"/>
        </w:rPr>
        <w:t>ased on Median Household Income</w:t>
      </w:r>
      <w:r w:rsidR="00171FE3">
        <w:rPr>
          <w:sz w:val="24"/>
          <w:szCs w:val="24"/>
        </w:rPr>
        <w:t>)</w:t>
      </w:r>
    </w:p>
    <w:p w:rsidR="008F0E6A" w:rsidRPr="00D03204" w:rsidRDefault="008F0E6A" w:rsidP="00206340">
      <w:pPr>
        <w:spacing w:after="0"/>
        <w:rPr>
          <w:sz w:val="16"/>
          <w:szCs w:val="16"/>
        </w:rPr>
      </w:pPr>
    </w:p>
    <w:p w:rsidR="008F0E6A" w:rsidRDefault="005212AF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Projects primarily for growth or fire protection are not eligible.  </w:t>
      </w:r>
      <w:r w:rsidR="008F0E6A">
        <w:rPr>
          <w:sz w:val="24"/>
          <w:szCs w:val="24"/>
        </w:rPr>
        <w:t>Projects will remain on the PPL for 5 years unless a project update is received.</w:t>
      </w:r>
    </w:p>
    <w:p w:rsidR="008D06E6" w:rsidRDefault="008D06E6" w:rsidP="00206340">
      <w:pPr>
        <w:spacing w:after="0"/>
        <w:rPr>
          <w:sz w:val="24"/>
          <w:szCs w:val="24"/>
        </w:rPr>
      </w:pPr>
    </w:p>
    <w:p w:rsidR="008922A1" w:rsidRDefault="008922A1" w:rsidP="00206340">
      <w:pPr>
        <w:spacing w:after="0"/>
        <w:rPr>
          <w:sz w:val="24"/>
          <w:szCs w:val="24"/>
        </w:rPr>
      </w:pPr>
    </w:p>
    <w:p w:rsidR="008F0E6A" w:rsidRPr="00B96D01" w:rsidRDefault="008F0E6A" w:rsidP="00206340">
      <w:pPr>
        <w:spacing w:after="0"/>
        <w:rPr>
          <w:b/>
          <w:sz w:val="24"/>
          <w:szCs w:val="24"/>
        </w:rPr>
      </w:pPr>
      <w:r w:rsidRPr="00B96D01">
        <w:rPr>
          <w:b/>
          <w:sz w:val="24"/>
          <w:szCs w:val="24"/>
        </w:rPr>
        <w:lastRenderedPageBreak/>
        <w:t>So my project is on the PPL, now what?</w:t>
      </w:r>
    </w:p>
    <w:p w:rsidR="008F0E6A" w:rsidRPr="000C1F30" w:rsidRDefault="008F0E6A" w:rsidP="00206340">
      <w:pPr>
        <w:spacing w:after="0"/>
        <w:rPr>
          <w:sz w:val="16"/>
          <w:szCs w:val="16"/>
        </w:rPr>
      </w:pPr>
    </w:p>
    <w:p w:rsidR="008F0E6A" w:rsidRDefault="008F0E6A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your project is ready to proceed (during the fo</w:t>
      </w:r>
      <w:r w:rsidR="00C92C80">
        <w:rPr>
          <w:sz w:val="24"/>
          <w:szCs w:val="24"/>
        </w:rPr>
        <w:t>llowing construction season), a</w:t>
      </w:r>
      <w:r>
        <w:rPr>
          <w:sz w:val="24"/>
          <w:szCs w:val="24"/>
        </w:rPr>
        <w:t xml:space="preserve"> request for placement on the Intended Use Plan (IUP) must be sent to the Pu</w:t>
      </w:r>
      <w:r w:rsidR="00C92C80">
        <w:rPr>
          <w:sz w:val="24"/>
          <w:szCs w:val="24"/>
        </w:rPr>
        <w:t xml:space="preserve">blic Facilities Authority (PFA) by the </w:t>
      </w:r>
      <w:r w:rsidR="00C92C80" w:rsidRPr="00C92C80">
        <w:rPr>
          <w:b/>
          <w:sz w:val="24"/>
          <w:szCs w:val="24"/>
        </w:rPr>
        <w:t>first Friday in June</w:t>
      </w:r>
      <w:r w:rsidR="00C92C80">
        <w:rPr>
          <w:sz w:val="24"/>
          <w:szCs w:val="24"/>
        </w:rPr>
        <w:t>.</w:t>
      </w:r>
      <w:r>
        <w:rPr>
          <w:sz w:val="24"/>
          <w:szCs w:val="24"/>
        </w:rPr>
        <w:t xml:space="preserve">  Information about </w:t>
      </w:r>
      <w:r w:rsidR="00B96D0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PFA </w:t>
      </w:r>
      <w:r w:rsidR="00B96D01">
        <w:rPr>
          <w:sz w:val="24"/>
          <w:szCs w:val="24"/>
        </w:rPr>
        <w:t xml:space="preserve">process </w:t>
      </w:r>
      <w:r>
        <w:rPr>
          <w:sz w:val="24"/>
          <w:szCs w:val="24"/>
        </w:rPr>
        <w:t xml:space="preserve">can be found at: </w:t>
      </w:r>
      <w:hyperlink r:id="rId7" w:history="1">
        <w:r w:rsidR="00B96D01" w:rsidRPr="00D04BF0">
          <w:rPr>
            <w:rStyle w:val="Hyperlink"/>
            <w:sz w:val="24"/>
            <w:szCs w:val="24"/>
          </w:rPr>
          <w:t>http://mn.gov/deed/government/public-facilities/</w:t>
        </w:r>
      </w:hyperlink>
    </w:p>
    <w:p w:rsidR="00126315" w:rsidRPr="000C1F30" w:rsidRDefault="00126315" w:rsidP="00206340">
      <w:pPr>
        <w:spacing w:after="0"/>
        <w:rPr>
          <w:sz w:val="16"/>
          <w:szCs w:val="16"/>
        </w:rPr>
      </w:pPr>
    </w:p>
    <w:p w:rsidR="008D06E6" w:rsidRPr="00C92C80" w:rsidRDefault="008D06E6" w:rsidP="00206340">
      <w:pPr>
        <w:spacing w:after="0"/>
        <w:rPr>
          <w:b/>
          <w:sz w:val="24"/>
          <w:szCs w:val="24"/>
        </w:rPr>
      </w:pPr>
      <w:r w:rsidRPr="00C92C80">
        <w:rPr>
          <w:b/>
          <w:sz w:val="24"/>
          <w:szCs w:val="24"/>
        </w:rPr>
        <w:t>What is the Intended Use Plan (IUP)?</w:t>
      </w:r>
    </w:p>
    <w:p w:rsidR="00126315" w:rsidRPr="000C1F30" w:rsidRDefault="00126315" w:rsidP="00206340">
      <w:pPr>
        <w:spacing w:after="0"/>
        <w:rPr>
          <w:sz w:val="16"/>
          <w:szCs w:val="16"/>
        </w:rPr>
      </w:pPr>
    </w:p>
    <w:p w:rsidR="00126315" w:rsidRDefault="00C2769E" w:rsidP="0020634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IUP is a</w:t>
      </w:r>
      <w:r w:rsidR="00C92C80">
        <w:rPr>
          <w:sz w:val="24"/>
          <w:szCs w:val="24"/>
        </w:rPr>
        <w:t xml:space="preserve"> l</w:t>
      </w:r>
      <w:r w:rsidR="00126315">
        <w:rPr>
          <w:sz w:val="24"/>
          <w:szCs w:val="24"/>
        </w:rPr>
        <w:t>is</w:t>
      </w:r>
      <w:r w:rsidR="00C92C80">
        <w:rPr>
          <w:sz w:val="24"/>
          <w:szCs w:val="24"/>
        </w:rPr>
        <w:t>t of projects intending to move</w:t>
      </w:r>
      <w:r w:rsidR="00126315">
        <w:rPr>
          <w:sz w:val="24"/>
          <w:szCs w:val="24"/>
        </w:rPr>
        <w:t xml:space="preserve"> forwar</w:t>
      </w:r>
      <w:r w:rsidR="00C92C80">
        <w:rPr>
          <w:sz w:val="24"/>
          <w:szCs w:val="24"/>
        </w:rPr>
        <w:t>d during the next construction season.</w:t>
      </w:r>
      <w:r w:rsidR="00A74AC0">
        <w:rPr>
          <w:sz w:val="24"/>
          <w:szCs w:val="24"/>
        </w:rPr>
        <w:t xml:space="preserve">  Projects may be on the list but may not be in the funding range.  The funding range is set on an annual basis.</w:t>
      </w:r>
      <w:r w:rsidR="00C92C80">
        <w:rPr>
          <w:sz w:val="24"/>
          <w:szCs w:val="24"/>
        </w:rPr>
        <w:t xml:space="preserve">  The IUP is maintained by PFA.  Projects only remain on the IUP for one year but can reapply annually.</w:t>
      </w:r>
    </w:p>
    <w:p w:rsidR="00A74AC0" w:rsidRPr="000C1F30" w:rsidRDefault="00A74AC0" w:rsidP="00206340">
      <w:pPr>
        <w:spacing w:after="0"/>
        <w:rPr>
          <w:sz w:val="16"/>
          <w:szCs w:val="16"/>
        </w:rPr>
      </w:pPr>
    </w:p>
    <w:p w:rsidR="00A74AC0" w:rsidRDefault="00A74AC0" w:rsidP="00206340">
      <w:pPr>
        <w:spacing w:after="0"/>
        <w:rPr>
          <w:b/>
          <w:sz w:val="24"/>
          <w:szCs w:val="24"/>
        </w:rPr>
      </w:pPr>
      <w:r w:rsidRPr="00A74AC0">
        <w:rPr>
          <w:b/>
          <w:sz w:val="24"/>
          <w:szCs w:val="24"/>
        </w:rPr>
        <w:t>So my project is on the IUP in the funding range, what do I need to do to get funding?</w:t>
      </w:r>
    </w:p>
    <w:p w:rsidR="00A74AC0" w:rsidRPr="000C1F30" w:rsidRDefault="00A74AC0" w:rsidP="00206340">
      <w:pPr>
        <w:spacing w:after="0"/>
        <w:rPr>
          <w:b/>
          <w:sz w:val="16"/>
          <w:szCs w:val="16"/>
        </w:rPr>
      </w:pPr>
    </w:p>
    <w:p w:rsidR="00A74AC0" w:rsidRPr="00C2769E" w:rsidRDefault="00C2769E" w:rsidP="00C2769E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the project is ready to move forward</w:t>
      </w:r>
      <w:r w:rsidR="00120DF3">
        <w:rPr>
          <w:sz w:val="24"/>
          <w:szCs w:val="24"/>
        </w:rPr>
        <w:t>,</w:t>
      </w:r>
      <w:r>
        <w:rPr>
          <w:sz w:val="24"/>
          <w:szCs w:val="24"/>
        </w:rPr>
        <w:t xml:space="preserve"> it must be certified by MDH.  The following items need to be completed:</w:t>
      </w:r>
    </w:p>
    <w:p w:rsidR="000C1F30" w:rsidRPr="000C1F30" w:rsidRDefault="000C1F30" w:rsidP="00C2769E">
      <w:pPr>
        <w:spacing w:after="0"/>
        <w:ind w:left="1440" w:hanging="720"/>
        <w:rPr>
          <w:sz w:val="16"/>
          <w:szCs w:val="16"/>
        </w:rPr>
      </w:pPr>
    </w:p>
    <w:p w:rsidR="00A74AC0" w:rsidRDefault="00A74AC0" w:rsidP="00C2769E">
      <w:pPr>
        <w:spacing w:after="0"/>
        <w:ind w:left="1440" w:hanging="720"/>
        <w:rPr>
          <w:sz w:val="24"/>
          <w:szCs w:val="24"/>
        </w:rPr>
      </w:pPr>
      <w:r w:rsidRPr="00C2769E">
        <w:rPr>
          <w:sz w:val="24"/>
          <w:szCs w:val="24"/>
        </w:rPr>
        <w:t xml:space="preserve">1. </w:t>
      </w:r>
      <w:r w:rsidR="00C2769E">
        <w:rPr>
          <w:sz w:val="24"/>
          <w:szCs w:val="24"/>
        </w:rPr>
        <w:tab/>
        <w:t>P</w:t>
      </w:r>
      <w:r w:rsidRPr="00C2769E">
        <w:rPr>
          <w:sz w:val="24"/>
          <w:szCs w:val="24"/>
        </w:rPr>
        <w:t xml:space="preserve">lans and specifications, which include Davis Bacon wage rates, DBE </w:t>
      </w:r>
      <w:r w:rsidR="00C2769E">
        <w:rPr>
          <w:sz w:val="24"/>
          <w:szCs w:val="24"/>
        </w:rPr>
        <w:t>bidding requirements and AIS</w:t>
      </w:r>
      <w:r w:rsidR="007C15DA">
        <w:rPr>
          <w:sz w:val="24"/>
          <w:szCs w:val="24"/>
        </w:rPr>
        <w:t xml:space="preserve"> certification</w:t>
      </w:r>
      <w:r w:rsidR="00C2769E">
        <w:rPr>
          <w:sz w:val="24"/>
          <w:szCs w:val="24"/>
        </w:rPr>
        <w:t xml:space="preserve">, must be approved.  Plans must be submitted </w:t>
      </w:r>
      <w:r w:rsidR="00A67F11">
        <w:rPr>
          <w:sz w:val="24"/>
          <w:szCs w:val="24"/>
        </w:rPr>
        <w:t>within 6 months of the date the IUP is approved.</w:t>
      </w:r>
      <w:r w:rsidR="00FD37BE">
        <w:rPr>
          <w:sz w:val="24"/>
          <w:szCs w:val="24"/>
        </w:rPr>
        <w:t xml:space="preserve">  (Typically the plan review deadline is the end of March.)</w:t>
      </w:r>
    </w:p>
    <w:p w:rsidR="00C2769E" w:rsidRDefault="00C2769E" w:rsidP="00C2769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Water system must have an appropriately licensed water operator.</w:t>
      </w:r>
    </w:p>
    <w:p w:rsidR="00C2769E" w:rsidRDefault="00C2769E" w:rsidP="00C2769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Environmental Review must be completed</w:t>
      </w:r>
      <w:r w:rsidR="00984A72">
        <w:rPr>
          <w:sz w:val="24"/>
          <w:szCs w:val="24"/>
        </w:rPr>
        <w:t>.</w:t>
      </w:r>
    </w:p>
    <w:p w:rsidR="00C2769E" w:rsidRDefault="007C15DA" w:rsidP="00C2769E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</w:t>
      </w:r>
      <w:r w:rsidR="00C2769E">
        <w:rPr>
          <w:sz w:val="24"/>
          <w:szCs w:val="24"/>
        </w:rPr>
        <w:t>ities with a population &gt; 1,000 must have an approved DNR Water Supply Plan.</w:t>
      </w:r>
    </w:p>
    <w:p w:rsidR="00C2769E" w:rsidRPr="000C1F30" w:rsidRDefault="00C2769E" w:rsidP="00C2769E">
      <w:pPr>
        <w:spacing w:after="0"/>
        <w:rPr>
          <w:sz w:val="16"/>
          <w:szCs w:val="16"/>
        </w:rPr>
      </w:pPr>
    </w:p>
    <w:p w:rsidR="00C2769E" w:rsidRPr="00C2769E" w:rsidRDefault="00C2769E" w:rsidP="00C276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PFA must also </w:t>
      </w:r>
      <w:r w:rsidR="00FD37BE">
        <w:rPr>
          <w:sz w:val="24"/>
          <w:szCs w:val="24"/>
        </w:rPr>
        <w:t>receive</w:t>
      </w:r>
      <w:r w:rsidR="00A67F11">
        <w:rPr>
          <w:sz w:val="24"/>
          <w:szCs w:val="24"/>
        </w:rPr>
        <w:t xml:space="preserve"> a completed loan </w:t>
      </w:r>
      <w:r w:rsidR="00FD37BE">
        <w:rPr>
          <w:sz w:val="24"/>
          <w:szCs w:val="24"/>
        </w:rPr>
        <w:t>application and as-bid costs.  The l</w:t>
      </w:r>
      <w:r w:rsidR="00A67F11">
        <w:rPr>
          <w:sz w:val="24"/>
          <w:szCs w:val="24"/>
        </w:rPr>
        <w:t>oan application must also be submitted to PFA within 6 months of the date the IUP is approved.</w:t>
      </w:r>
      <w:r w:rsidR="002B2A44" w:rsidRPr="002B2A44">
        <w:rPr>
          <w:sz w:val="24"/>
          <w:szCs w:val="24"/>
        </w:rPr>
        <w:t xml:space="preserve"> </w:t>
      </w:r>
      <w:r w:rsidR="002B2A44">
        <w:rPr>
          <w:sz w:val="24"/>
          <w:szCs w:val="24"/>
        </w:rPr>
        <w:t xml:space="preserve">Applicants must </w:t>
      </w:r>
      <w:r w:rsidR="003F4466">
        <w:rPr>
          <w:sz w:val="24"/>
          <w:szCs w:val="24"/>
        </w:rPr>
        <w:t xml:space="preserve">show that </w:t>
      </w:r>
      <w:r w:rsidR="002B2A44">
        <w:rPr>
          <w:sz w:val="24"/>
          <w:szCs w:val="24"/>
        </w:rPr>
        <w:t xml:space="preserve">total project funding </w:t>
      </w:r>
      <w:r w:rsidR="003F4466">
        <w:rPr>
          <w:sz w:val="24"/>
          <w:szCs w:val="24"/>
        </w:rPr>
        <w:t xml:space="preserve">and </w:t>
      </w:r>
      <w:r w:rsidR="002B2A44">
        <w:rPr>
          <w:sz w:val="24"/>
          <w:szCs w:val="24"/>
        </w:rPr>
        <w:t xml:space="preserve">dedicated revenue </w:t>
      </w:r>
      <w:r w:rsidR="003F4466">
        <w:rPr>
          <w:sz w:val="24"/>
          <w:szCs w:val="24"/>
        </w:rPr>
        <w:t xml:space="preserve">source(s) are in place </w:t>
      </w:r>
      <w:r w:rsidR="002B2A44">
        <w:rPr>
          <w:sz w:val="24"/>
          <w:szCs w:val="24"/>
        </w:rPr>
        <w:t>for payment of operation, maintenance, existing and new debt service.  Typically user rate increases or special assessments are pledged for payment of debt service on the DWRF loan.</w:t>
      </w:r>
    </w:p>
    <w:p w:rsidR="00A74AC0" w:rsidRPr="000C1F30" w:rsidRDefault="00A74AC0" w:rsidP="00206340">
      <w:pPr>
        <w:spacing w:after="0"/>
        <w:rPr>
          <w:sz w:val="16"/>
          <w:szCs w:val="16"/>
        </w:rPr>
      </w:pPr>
    </w:p>
    <w:p w:rsidR="00A67F11" w:rsidRDefault="00A67F11" w:rsidP="00206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 the project is funded and under construction, what next?</w:t>
      </w:r>
    </w:p>
    <w:p w:rsidR="00A67F11" w:rsidRPr="000C1F30" w:rsidRDefault="00A67F11" w:rsidP="00206340">
      <w:pPr>
        <w:spacing w:after="0"/>
        <w:rPr>
          <w:b/>
          <w:sz w:val="16"/>
          <w:szCs w:val="16"/>
        </w:rPr>
      </w:pPr>
    </w:p>
    <w:p w:rsidR="00A67F11" w:rsidRDefault="00A67F11" w:rsidP="00206340">
      <w:pPr>
        <w:spacing w:after="0"/>
        <w:rPr>
          <w:sz w:val="24"/>
          <w:szCs w:val="24"/>
        </w:rPr>
      </w:pPr>
      <w:r w:rsidRPr="00A67F11">
        <w:rPr>
          <w:sz w:val="24"/>
          <w:szCs w:val="24"/>
        </w:rPr>
        <w:t xml:space="preserve">Depending on the size and type of project MDH may do interim and final inspections.  Once the project is complete, MDH will send a performance certification form to the city to sign verifying that the project is performing satisfactorily. </w:t>
      </w:r>
    </w:p>
    <w:p w:rsidR="00D46830" w:rsidRPr="008922A1" w:rsidRDefault="00D46830" w:rsidP="00206340">
      <w:pPr>
        <w:spacing w:after="0"/>
        <w:rPr>
          <w:sz w:val="16"/>
          <w:szCs w:val="16"/>
        </w:rPr>
      </w:pPr>
    </w:p>
    <w:p w:rsidR="00D46830" w:rsidRPr="008922A1" w:rsidRDefault="00D46830" w:rsidP="00206340">
      <w:pPr>
        <w:spacing w:after="0"/>
        <w:rPr>
          <w:b/>
          <w:sz w:val="24"/>
          <w:szCs w:val="24"/>
        </w:rPr>
        <w:sectPr w:rsidR="00D46830" w:rsidRPr="008922A1" w:rsidSect="00836BAE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D46830">
        <w:rPr>
          <w:b/>
          <w:sz w:val="24"/>
          <w:szCs w:val="24"/>
        </w:rPr>
        <w:t>Where can I get more information?</w:t>
      </w:r>
    </w:p>
    <w:p w:rsidR="00D46830" w:rsidRPr="008922A1" w:rsidRDefault="00D46830" w:rsidP="00206340">
      <w:pPr>
        <w:spacing w:after="0"/>
        <w:rPr>
          <w:sz w:val="16"/>
          <w:szCs w:val="16"/>
        </w:rPr>
        <w:sectPr w:rsidR="00D46830" w:rsidRPr="008922A1" w:rsidSect="00836BAE">
          <w:type w:val="continuous"/>
          <w:pgSz w:w="12240" w:h="15840"/>
          <w:pgMar w:top="806" w:right="1008" w:bottom="806" w:left="1008" w:header="720" w:footer="720" w:gutter="0"/>
          <w:cols w:num="2" w:space="720"/>
          <w:docGrid w:linePitch="360"/>
        </w:sectPr>
      </w:pPr>
    </w:p>
    <w:p w:rsidR="00D46830" w:rsidRPr="008922A1" w:rsidRDefault="00D46830" w:rsidP="00206340">
      <w:pPr>
        <w:spacing w:after="0"/>
        <w:rPr>
          <w:sz w:val="24"/>
          <w:szCs w:val="24"/>
          <w:u w:val="single"/>
        </w:rPr>
      </w:pPr>
      <w:r w:rsidRPr="008922A1">
        <w:rPr>
          <w:sz w:val="24"/>
          <w:szCs w:val="24"/>
          <w:u w:val="single"/>
        </w:rPr>
        <w:lastRenderedPageBreak/>
        <w:t>Technical Questions</w:t>
      </w:r>
    </w:p>
    <w:p w:rsidR="00D46830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Minnesota Department of Health</w:t>
      </w:r>
    </w:p>
    <w:p w:rsidR="00D46830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Chad Kolstad</w:t>
      </w:r>
    </w:p>
    <w:p w:rsidR="00D46830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DWRF Program Coordinator</w:t>
      </w:r>
    </w:p>
    <w:p w:rsidR="00A67F11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651-201-3972</w:t>
      </w:r>
    </w:p>
    <w:p w:rsidR="00D46830" w:rsidRPr="008922A1" w:rsidRDefault="00FC5DA5" w:rsidP="00206340">
      <w:pPr>
        <w:spacing w:after="0"/>
        <w:rPr>
          <w:sz w:val="24"/>
          <w:szCs w:val="24"/>
        </w:rPr>
      </w:pPr>
      <w:hyperlink r:id="rId8" w:history="1">
        <w:r w:rsidR="008922A1" w:rsidRPr="008922A1">
          <w:rPr>
            <w:rStyle w:val="Hyperlink"/>
            <w:sz w:val="24"/>
            <w:szCs w:val="24"/>
          </w:rPr>
          <w:t>chad.kolstad@state.mn.us</w:t>
        </w:r>
      </w:hyperlink>
    </w:p>
    <w:p w:rsidR="008922A1" w:rsidRPr="005212AF" w:rsidRDefault="00FC5DA5" w:rsidP="00206340">
      <w:pPr>
        <w:spacing w:after="0"/>
      </w:pPr>
      <w:hyperlink r:id="rId9" w:history="1">
        <w:r w:rsidR="00D46830" w:rsidRPr="008922A1">
          <w:rPr>
            <w:rStyle w:val="Hyperlink"/>
            <w:rFonts w:cs="Times New Roman"/>
          </w:rPr>
          <w:t>www.health.state.mn.us/divs/eh/water/dwrf/</w:t>
        </w:r>
      </w:hyperlink>
    </w:p>
    <w:p w:rsidR="00D46830" w:rsidRPr="008922A1" w:rsidRDefault="00D46830" w:rsidP="00206340">
      <w:pPr>
        <w:spacing w:after="0"/>
        <w:rPr>
          <w:sz w:val="24"/>
          <w:szCs w:val="24"/>
          <w:u w:val="single"/>
        </w:rPr>
      </w:pPr>
      <w:r w:rsidRPr="008922A1">
        <w:rPr>
          <w:sz w:val="24"/>
          <w:szCs w:val="24"/>
          <w:u w:val="single"/>
        </w:rPr>
        <w:lastRenderedPageBreak/>
        <w:t>Financial Questions</w:t>
      </w:r>
    </w:p>
    <w:p w:rsidR="00D46830" w:rsidRPr="008922A1" w:rsidRDefault="008922A1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Minnesota Public Facilities Authority</w:t>
      </w:r>
    </w:p>
    <w:p w:rsidR="00D46830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Becky Sabie</w:t>
      </w:r>
    </w:p>
    <w:p w:rsidR="00D46830" w:rsidRPr="008922A1" w:rsidRDefault="00D46830" w:rsidP="00206340">
      <w:pPr>
        <w:spacing w:after="0"/>
        <w:rPr>
          <w:sz w:val="24"/>
          <w:szCs w:val="24"/>
        </w:rPr>
      </w:pPr>
      <w:r w:rsidRPr="008922A1">
        <w:rPr>
          <w:sz w:val="24"/>
          <w:szCs w:val="24"/>
        </w:rPr>
        <w:t>Program Coordinator</w:t>
      </w:r>
    </w:p>
    <w:p w:rsidR="00D46830" w:rsidRPr="008922A1" w:rsidRDefault="008922A1" w:rsidP="00206340">
      <w:pPr>
        <w:spacing w:after="0"/>
        <w:rPr>
          <w:sz w:val="24"/>
          <w:szCs w:val="24"/>
        </w:rPr>
      </w:pPr>
      <w:r w:rsidRPr="008922A1">
        <w:rPr>
          <w:rFonts w:cs="Times New Roman"/>
          <w:sz w:val="24"/>
          <w:szCs w:val="24"/>
        </w:rPr>
        <w:t>651-259-7470</w:t>
      </w:r>
    </w:p>
    <w:p w:rsidR="00D46830" w:rsidRPr="008922A1" w:rsidRDefault="00FC5DA5" w:rsidP="00206340">
      <w:pPr>
        <w:spacing w:after="0"/>
        <w:rPr>
          <w:rStyle w:val="Hyperlink"/>
          <w:rFonts w:cs="Times New Roman"/>
          <w:color w:val="auto"/>
          <w:sz w:val="24"/>
          <w:szCs w:val="24"/>
        </w:rPr>
      </w:pPr>
      <w:hyperlink r:id="rId10" w:history="1">
        <w:r w:rsidR="008922A1" w:rsidRPr="008922A1">
          <w:rPr>
            <w:rStyle w:val="Hyperlink"/>
            <w:rFonts w:cs="Times New Roman"/>
            <w:sz w:val="24"/>
            <w:szCs w:val="24"/>
          </w:rPr>
          <w:t>rebecca.sabie@state.mn.us</w:t>
        </w:r>
      </w:hyperlink>
    </w:p>
    <w:p w:rsidR="008922A1" w:rsidRDefault="00FC5DA5" w:rsidP="00206340">
      <w:pPr>
        <w:spacing w:after="0"/>
        <w:rPr>
          <w:b/>
          <w:sz w:val="24"/>
          <w:szCs w:val="24"/>
        </w:rPr>
      </w:pPr>
      <w:hyperlink r:id="rId11" w:history="1">
        <w:r w:rsidR="008922A1" w:rsidRPr="008922A1">
          <w:rPr>
            <w:rStyle w:val="Hyperlink"/>
            <w:rFonts w:cs="Times New Roman"/>
          </w:rPr>
          <w:t>http://mn.gov/deed/government/public-facilities/</w:t>
        </w:r>
      </w:hyperlink>
    </w:p>
    <w:sectPr w:rsidR="008922A1" w:rsidSect="00836BAE">
      <w:type w:val="continuous"/>
      <w:pgSz w:w="12240" w:h="15840"/>
      <w:pgMar w:top="806" w:right="1008" w:bottom="63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0"/>
    <w:rsid w:val="000A0545"/>
    <w:rsid w:val="000C1F30"/>
    <w:rsid w:val="00120DF3"/>
    <w:rsid w:val="00126315"/>
    <w:rsid w:val="00171FE3"/>
    <w:rsid w:val="00206340"/>
    <w:rsid w:val="00276F23"/>
    <w:rsid w:val="002B2A44"/>
    <w:rsid w:val="002D74B5"/>
    <w:rsid w:val="003F4466"/>
    <w:rsid w:val="005212AF"/>
    <w:rsid w:val="00762985"/>
    <w:rsid w:val="007C15DA"/>
    <w:rsid w:val="00836BAE"/>
    <w:rsid w:val="008922A1"/>
    <w:rsid w:val="008D06E6"/>
    <w:rsid w:val="008E62D8"/>
    <w:rsid w:val="008F0E6A"/>
    <w:rsid w:val="008F28F4"/>
    <w:rsid w:val="00931E02"/>
    <w:rsid w:val="00984A72"/>
    <w:rsid w:val="00A67F11"/>
    <w:rsid w:val="00A74AC0"/>
    <w:rsid w:val="00B7313D"/>
    <w:rsid w:val="00B96D01"/>
    <w:rsid w:val="00C2769E"/>
    <w:rsid w:val="00C92C80"/>
    <w:rsid w:val="00CC1711"/>
    <w:rsid w:val="00CF36D2"/>
    <w:rsid w:val="00D03204"/>
    <w:rsid w:val="00D46830"/>
    <w:rsid w:val="00DB5C96"/>
    <w:rsid w:val="00F20F3F"/>
    <w:rsid w:val="00FC5DA5"/>
    <w:rsid w:val="00FD1C97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8F064-864F-4DD5-9FB2-12E9805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kolstad@state.mn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n.gov/deed/government/public-facilit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state.mn.us/divs/eh/water/dwrf/ppl/index.html" TargetMode="External"/><Relationship Id="rId11" Type="http://schemas.openxmlformats.org/officeDocument/2006/relationships/hyperlink" Target="http://mn.gov/deed/government/public-facilities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rebecca.sabie@state.mn.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alth.state.mn.us/divs/eh/water/dw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Revolving Fund (DWRF) Basics</dc:title>
  <dc:creator>Chad Kolstad</dc:creator>
  <cp:keywords>water supply planning</cp:keywords>
  <cp:lastModifiedBy>Claire Gahler</cp:lastModifiedBy>
  <cp:revision>7</cp:revision>
  <cp:lastPrinted>2014-12-10T12:41:00Z</cp:lastPrinted>
  <dcterms:created xsi:type="dcterms:W3CDTF">2015-08-11T15:13:00Z</dcterms:created>
  <dcterms:modified xsi:type="dcterms:W3CDTF">2015-10-01T15:39:00Z</dcterms:modified>
</cp:coreProperties>
</file>