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C50" w:rsidRDefault="00E23C50" w:rsidP="009B6E38">
      <w:pPr>
        <w:rPr>
          <w:b/>
          <w:sz w:val="28"/>
          <w:szCs w:val="28"/>
        </w:rPr>
      </w:pPr>
      <w:r>
        <w:rPr>
          <w:b/>
          <w:sz w:val="28"/>
          <w:szCs w:val="28"/>
        </w:rPr>
        <w:t>PILT Report, Commissioner’s Advisory Group</w:t>
      </w:r>
    </w:p>
    <w:p w:rsidR="00E23C50" w:rsidRDefault="00E23C50" w:rsidP="009B6E38">
      <w:pPr>
        <w:rPr>
          <w:b/>
          <w:sz w:val="28"/>
          <w:szCs w:val="28"/>
        </w:rPr>
      </w:pPr>
      <w:r>
        <w:rPr>
          <w:b/>
          <w:sz w:val="28"/>
          <w:szCs w:val="28"/>
        </w:rPr>
        <w:t>Synopsis of analysis and recommendations thus far</w:t>
      </w:r>
    </w:p>
    <w:p w:rsidR="00E23C50" w:rsidRDefault="003F3DE0" w:rsidP="009B6E38">
      <w:pPr>
        <w:rPr>
          <w:b/>
          <w:sz w:val="28"/>
          <w:szCs w:val="28"/>
        </w:rPr>
      </w:pPr>
      <w:r>
        <w:rPr>
          <w:b/>
          <w:sz w:val="28"/>
          <w:szCs w:val="28"/>
        </w:rPr>
        <w:t>Draft, July 26 - update</w:t>
      </w:r>
    </w:p>
    <w:p w:rsidR="00E23C50" w:rsidRDefault="00E23C50" w:rsidP="009B6E38">
      <w:pPr>
        <w:rPr>
          <w:b/>
          <w:sz w:val="28"/>
          <w:szCs w:val="28"/>
        </w:rPr>
      </w:pPr>
    </w:p>
    <w:p w:rsidR="009B6E38" w:rsidRPr="00C228DB" w:rsidRDefault="009B6E38" w:rsidP="009B6E38">
      <w:pPr>
        <w:rPr>
          <w:b/>
          <w:sz w:val="28"/>
          <w:szCs w:val="28"/>
        </w:rPr>
      </w:pPr>
      <w:r w:rsidRPr="00C228DB">
        <w:rPr>
          <w:b/>
          <w:sz w:val="28"/>
          <w:szCs w:val="28"/>
        </w:rPr>
        <w:t>The purpose of the payment system and the criteria for payments</w:t>
      </w:r>
    </w:p>
    <w:tbl>
      <w:tblPr>
        <w:tblStyle w:val="TableGrid"/>
        <w:tblW w:w="0" w:type="auto"/>
        <w:tblCellMar>
          <w:top w:w="29" w:type="dxa"/>
          <w:left w:w="115" w:type="dxa"/>
          <w:bottom w:w="29" w:type="dxa"/>
          <w:right w:w="115" w:type="dxa"/>
        </w:tblCellMar>
        <w:tblLook w:val="04A0"/>
      </w:tblPr>
      <w:tblGrid>
        <w:gridCol w:w="7045"/>
        <w:gridCol w:w="2531"/>
      </w:tblGrid>
      <w:tr w:rsidR="009B6E38" w:rsidTr="00C228DB">
        <w:tc>
          <w:tcPr>
            <w:tcW w:w="7045" w:type="dxa"/>
            <w:shd w:val="clear" w:color="auto" w:fill="DAEEF3" w:themeFill="accent5" w:themeFillTint="33"/>
          </w:tcPr>
          <w:p w:rsidR="009B6E38" w:rsidRPr="00C228DB" w:rsidRDefault="00C228DB" w:rsidP="009B6E38">
            <w:pPr>
              <w:rPr>
                <w:b/>
              </w:rPr>
            </w:pPr>
            <w:r w:rsidRPr="00C228DB">
              <w:rPr>
                <w:b/>
              </w:rPr>
              <w:t>Analysis/Recommendations thus far</w:t>
            </w:r>
          </w:p>
        </w:tc>
        <w:tc>
          <w:tcPr>
            <w:tcW w:w="2531" w:type="dxa"/>
            <w:shd w:val="clear" w:color="auto" w:fill="DAEEF3" w:themeFill="accent5" w:themeFillTint="33"/>
          </w:tcPr>
          <w:p w:rsidR="009B6E38" w:rsidRPr="00C228DB" w:rsidRDefault="00C228DB" w:rsidP="009B6E38">
            <w:pPr>
              <w:rPr>
                <w:b/>
              </w:rPr>
            </w:pPr>
            <w:r w:rsidRPr="00C228DB">
              <w:rPr>
                <w:b/>
              </w:rPr>
              <w:t>Level of agreement</w:t>
            </w:r>
          </w:p>
        </w:tc>
      </w:tr>
      <w:tr w:rsidR="009B6E38" w:rsidTr="00C228DB">
        <w:tc>
          <w:tcPr>
            <w:tcW w:w="7045" w:type="dxa"/>
          </w:tcPr>
          <w:p w:rsidR="009B6E38" w:rsidRPr="00C228DB" w:rsidRDefault="00C228DB" w:rsidP="009B6E38">
            <w:pPr>
              <w:rPr>
                <w:b/>
              </w:rPr>
            </w:pPr>
            <w:r w:rsidRPr="00C228DB">
              <w:rPr>
                <w:b/>
              </w:rPr>
              <w:t xml:space="preserve">For acquired natural resources land, PILT compensates for the loss of tax base and, </w:t>
            </w:r>
            <w:r w:rsidRPr="00F8645B">
              <w:rPr>
                <w:b/>
                <w:i/>
              </w:rPr>
              <w:t>in some cases</w:t>
            </w:r>
            <w:r w:rsidR="00F8645B">
              <w:rPr>
                <w:b/>
              </w:rPr>
              <w:t>, for the</w:t>
            </w:r>
            <w:r w:rsidRPr="00C228DB">
              <w:rPr>
                <w:b/>
              </w:rPr>
              <w:t xml:space="preserve"> local expenses of managing land</w:t>
            </w:r>
          </w:p>
        </w:tc>
        <w:tc>
          <w:tcPr>
            <w:tcW w:w="2531" w:type="dxa"/>
          </w:tcPr>
          <w:p w:rsidR="009B6E38" w:rsidRDefault="00C228DB" w:rsidP="009B6E38">
            <w:r>
              <w:t>Moderate to high</w:t>
            </w:r>
          </w:p>
        </w:tc>
      </w:tr>
      <w:tr w:rsidR="009B6E38" w:rsidTr="00C228DB">
        <w:tc>
          <w:tcPr>
            <w:tcW w:w="7045" w:type="dxa"/>
          </w:tcPr>
          <w:p w:rsidR="009B6E38" w:rsidRDefault="00C228DB" w:rsidP="009B6E38">
            <w:r>
              <w:t>PILT thereby reduces local resistance to natural resources land acquisition</w:t>
            </w:r>
          </w:p>
        </w:tc>
        <w:tc>
          <w:tcPr>
            <w:tcW w:w="2531" w:type="dxa"/>
          </w:tcPr>
          <w:p w:rsidR="009B6E38" w:rsidRDefault="00C228DB" w:rsidP="009B6E38">
            <w:r>
              <w:t>Related to above</w:t>
            </w:r>
          </w:p>
        </w:tc>
      </w:tr>
      <w:tr w:rsidR="009B6E38" w:rsidTr="00C228DB">
        <w:tc>
          <w:tcPr>
            <w:tcW w:w="7045" w:type="dxa"/>
          </w:tcPr>
          <w:p w:rsidR="009B6E38" w:rsidRDefault="00C228DB" w:rsidP="009B6E38">
            <w:r>
              <w:t>In a small number of counties with high proportions of public land, PILT pays for the county to have a land manager</w:t>
            </w:r>
          </w:p>
        </w:tc>
        <w:tc>
          <w:tcPr>
            <w:tcW w:w="2531" w:type="dxa"/>
          </w:tcPr>
          <w:p w:rsidR="009B6E38" w:rsidRDefault="00C228DB" w:rsidP="009B6E38">
            <w:r>
              <w:t xml:space="preserve">Related to above </w:t>
            </w:r>
          </w:p>
        </w:tc>
      </w:tr>
      <w:tr w:rsidR="00F8645B" w:rsidTr="00C228DB">
        <w:tc>
          <w:tcPr>
            <w:tcW w:w="7045" w:type="dxa"/>
          </w:tcPr>
          <w:p w:rsidR="00F8645B" w:rsidRDefault="00F8645B" w:rsidP="00092A43">
            <w:r>
              <w:t>PILT was intended to address the disproportionate impact of public land ownership on some counties – mostly in Northern Minnesota</w:t>
            </w:r>
          </w:p>
        </w:tc>
        <w:tc>
          <w:tcPr>
            <w:tcW w:w="2531" w:type="dxa"/>
          </w:tcPr>
          <w:p w:rsidR="00F8645B" w:rsidRDefault="004452A8" w:rsidP="00FE303D">
            <w:r>
              <w:t>Historical research</w:t>
            </w:r>
            <w:r w:rsidR="00FE303D">
              <w:t xml:space="preserve"> and recollection</w:t>
            </w:r>
            <w:r w:rsidR="00F8645B">
              <w:t xml:space="preserve"> (see newspaper articles)</w:t>
            </w:r>
          </w:p>
        </w:tc>
      </w:tr>
      <w:tr w:rsidR="00F8645B" w:rsidTr="00C228DB">
        <w:tc>
          <w:tcPr>
            <w:tcW w:w="7045" w:type="dxa"/>
          </w:tcPr>
          <w:p w:rsidR="00F8645B" w:rsidRDefault="00F8645B" w:rsidP="009B6E38">
            <w:r>
              <w:t>PILT compensates local government for restrictions placed on land use (e.g. ATV use)</w:t>
            </w:r>
          </w:p>
        </w:tc>
        <w:tc>
          <w:tcPr>
            <w:tcW w:w="2531" w:type="dxa"/>
          </w:tcPr>
          <w:p w:rsidR="00F8645B" w:rsidRDefault="00F8645B" w:rsidP="009B6E38">
            <w:r>
              <w:t>Low – differing perspectives</w:t>
            </w:r>
          </w:p>
        </w:tc>
      </w:tr>
      <w:tr w:rsidR="00F8645B" w:rsidTr="00C228DB">
        <w:tc>
          <w:tcPr>
            <w:tcW w:w="7045" w:type="dxa"/>
          </w:tcPr>
          <w:p w:rsidR="00F8645B" w:rsidRDefault="00F8645B" w:rsidP="009B6E38">
            <w:r>
              <w:t>Benefits to counties of public land ownership offset some of the burdens</w:t>
            </w:r>
          </w:p>
        </w:tc>
        <w:tc>
          <w:tcPr>
            <w:tcW w:w="2531" w:type="dxa"/>
          </w:tcPr>
          <w:p w:rsidR="00F8645B" w:rsidRDefault="00F8645B" w:rsidP="009B6E38">
            <w:r>
              <w:t>Low – differing perspectives</w:t>
            </w:r>
          </w:p>
        </w:tc>
      </w:tr>
    </w:tbl>
    <w:p w:rsidR="009B6E38" w:rsidRDefault="009B6E38" w:rsidP="009B6E38"/>
    <w:p w:rsidR="009B6E38" w:rsidRDefault="009B6E38" w:rsidP="009B6E38"/>
    <w:p w:rsidR="009E6532" w:rsidRDefault="009E6532">
      <w:pPr>
        <w:spacing w:after="200" w:line="276" w:lineRule="auto"/>
        <w:rPr>
          <w:b/>
          <w:sz w:val="28"/>
          <w:szCs w:val="28"/>
        </w:rPr>
      </w:pPr>
      <w:r>
        <w:rPr>
          <w:b/>
          <w:sz w:val="28"/>
          <w:szCs w:val="28"/>
        </w:rPr>
        <w:br w:type="page"/>
      </w:r>
    </w:p>
    <w:p w:rsidR="009B6E38" w:rsidRPr="00FE303D" w:rsidRDefault="009B6E38" w:rsidP="009B6E38">
      <w:pPr>
        <w:rPr>
          <w:b/>
          <w:sz w:val="28"/>
          <w:szCs w:val="28"/>
        </w:rPr>
      </w:pPr>
      <w:r w:rsidRPr="00FE303D">
        <w:rPr>
          <w:b/>
          <w:sz w:val="28"/>
          <w:szCs w:val="28"/>
        </w:rPr>
        <w:lastRenderedPageBreak/>
        <w:t>The rate of payments for specific classes of natural resource lands</w:t>
      </w:r>
    </w:p>
    <w:tbl>
      <w:tblPr>
        <w:tblStyle w:val="TableGrid"/>
        <w:tblW w:w="0" w:type="auto"/>
        <w:tblCellMar>
          <w:top w:w="29" w:type="dxa"/>
          <w:left w:w="115" w:type="dxa"/>
          <w:bottom w:w="29" w:type="dxa"/>
          <w:right w:w="115" w:type="dxa"/>
        </w:tblCellMar>
        <w:tblLook w:val="04A0"/>
      </w:tblPr>
      <w:tblGrid>
        <w:gridCol w:w="7045"/>
        <w:gridCol w:w="2531"/>
      </w:tblGrid>
      <w:tr w:rsidR="00C228DB" w:rsidTr="00FE303D">
        <w:tc>
          <w:tcPr>
            <w:tcW w:w="7045" w:type="dxa"/>
            <w:shd w:val="clear" w:color="auto" w:fill="DAEEF3" w:themeFill="accent5" w:themeFillTint="33"/>
          </w:tcPr>
          <w:p w:rsidR="00C228DB" w:rsidRPr="00C228DB" w:rsidRDefault="00C228DB" w:rsidP="00092A43">
            <w:pPr>
              <w:rPr>
                <w:b/>
              </w:rPr>
            </w:pPr>
            <w:r w:rsidRPr="00C228DB">
              <w:rPr>
                <w:b/>
              </w:rPr>
              <w:t>Analysis/Recommendations thus far</w:t>
            </w:r>
          </w:p>
        </w:tc>
        <w:tc>
          <w:tcPr>
            <w:tcW w:w="2531" w:type="dxa"/>
            <w:shd w:val="clear" w:color="auto" w:fill="DAEEF3" w:themeFill="accent5" w:themeFillTint="33"/>
          </w:tcPr>
          <w:p w:rsidR="00C228DB" w:rsidRPr="00C228DB" w:rsidRDefault="00C228DB" w:rsidP="00092A43">
            <w:pPr>
              <w:rPr>
                <w:b/>
              </w:rPr>
            </w:pPr>
            <w:r w:rsidRPr="00C228DB">
              <w:rPr>
                <w:b/>
              </w:rPr>
              <w:t>Level of agreement</w:t>
            </w:r>
          </w:p>
        </w:tc>
      </w:tr>
      <w:tr w:rsidR="00C228DB" w:rsidTr="00092A43">
        <w:tc>
          <w:tcPr>
            <w:tcW w:w="7045" w:type="dxa"/>
          </w:tcPr>
          <w:p w:rsidR="00C228DB" w:rsidRPr="00FE303D" w:rsidRDefault="00FE303D" w:rsidP="00F8645B">
            <w:pPr>
              <w:rPr>
                <w:b/>
              </w:rPr>
            </w:pPr>
            <w:r>
              <w:rPr>
                <w:b/>
              </w:rPr>
              <w:t>We do not need this many rates</w:t>
            </w:r>
          </w:p>
        </w:tc>
        <w:tc>
          <w:tcPr>
            <w:tcW w:w="2531" w:type="dxa"/>
          </w:tcPr>
          <w:p w:rsidR="00C228DB" w:rsidRDefault="00FE303D" w:rsidP="00092A43">
            <w:r>
              <w:t>H</w:t>
            </w:r>
            <w:r w:rsidR="00F8645B">
              <w:t>igh</w:t>
            </w:r>
          </w:p>
        </w:tc>
      </w:tr>
      <w:tr w:rsidR="00C228DB" w:rsidTr="00092A43">
        <w:tc>
          <w:tcPr>
            <w:tcW w:w="7045" w:type="dxa"/>
          </w:tcPr>
          <w:p w:rsidR="00C228DB" w:rsidRDefault="00E23C50" w:rsidP="004E0EF6">
            <w:r>
              <w:t>The rates we</w:t>
            </w:r>
            <w:r w:rsidR="004E0EF6">
              <w:t>re not rationally or analytically set – they are an artifact of history and politic</w:t>
            </w:r>
            <w:r>
              <w:t>al lobbying</w:t>
            </w:r>
            <w:r w:rsidR="0083478E">
              <w:t xml:space="preserve"> – the </w:t>
            </w:r>
            <w:r>
              <w:t>“</w:t>
            </w:r>
            <w:r w:rsidR="0083478E">
              <w:t>¾ of 1%</w:t>
            </w:r>
            <w:r>
              <w:t>”</w:t>
            </w:r>
            <w:r w:rsidR="0083478E">
              <w:t xml:space="preserve"> was based on the Federal rate</w:t>
            </w:r>
          </w:p>
        </w:tc>
        <w:tc>
          <w:tcPr>
            <w:tcW w:w="2531" w:type="dxa"/>
          </w:tcPr>
          <w:p w:rsidR="00C228DB" w:rsidRDefault="004E0EF6" w:rsidP="00092A43">
            <w:r>
              <w:t>High?</w:t>
            </w:r>
          </w:p>
        </w:tc>
      </w:tr>
      <w:tr w:rsidR="00C228DB" w:rsidTr="00092A43">
        <w:tc>
          <w:tcPr>
            <w:tcW w:w="7045" w:type="dxa"/>
          </w:tcPr>
          <w:p w:rsidR="00C228DB" w:rsidRDefault="00E23C50" w:rsidP="00E23C50">
            <w:r>
              <w:t xml:space="preserve">Tying compensation to land value </w:t>
            </w:r>
            <w:r w:rsidR="00FE303D">
              <w:t xml:space="preserve">comes the closest to </w:t>
            </w:r>
            <w:r w:rsidR="00E96086">
              <w:t>matching</w:t>
            </w:r>
            <w:r w:rsidR="00FE303D">
              <w:t xml:space="preserve"> PILT’s purpose (hence the “in lieu of taxes” in the name)</w:t>
            </w:r>
          </w:p>
        </w:tc>
        <w:tc>
          <w:tcPr>
            <w:tcW w:w="2531" w:type="dxa"/>
          </w:tcPr>
          <w:p w:rsidR="00C228DB" w:rsidRDefault="00FE303D" w:rsidP="00092A43">
            <w:r>
              <w:t>Moderate</w:t>
            </w:r>
          </w:p>
        </w:tc>
      </w:tr>
      <w:tr w:rsidR="00C228DB" w:rsidTr="00092A43">
        <w:tc>
          <w:tcPr>
            <w:tcW w:w="7045" w:type="dxa"/>
          </w:tcPr>
          <w:p w:rsidR="00C228DB" w:rsidRDefault="00FE303D" w:rsidP="00E96086">
            <w:pPr>
              <w:ind w:left="360"/>
            </w:pPr>
            <w:r>
              <w:t>However, the ad valorem basis has created windfalls in metro and suburban areas with relatively small proportions of public land – contrary to the original legislative intent</w:t>
            </w:r>
          </w:p>
        </w:tc>
        <w:tc>
          <w:tcPr>
            <w:tcW w:w="2531" w:type="dxa"/>
          </w:tcPr>
          <w:p w:rsidR="00C228DB" w:rsidRDefault="004E0EF6" w:rsidP="004E0EF6">
            <w:r>
              <w:t>Related to the above, but l</w:t>
            </w:r>
            <w:r w:rsidR="00FE303D">
              <w:t>ow</w:t>
            </w:r>
            <w:r>
              <w:t>er level of agreement</w:t>
            </w:r>
          </w:p>
        </w:tc>
      </w:tr>
      <w:tr w:rsidR="004E0EF6" w:rsidTr="00092A43">
        <w:tc>
          <w:tcPr>
            <w:tcW w:w="7045" w:type="dxa"/>
          </w:tcPr>
          <w:p w:rsidR="004E0EF6" w:rsidRDefault="004E0EF6" w:rsidP="00E96086">
            <w:pPr>
              <w:ind w:left="360"/>
            </w:pPr>
            <w:r>
              <w:t>However, the ad valorem ba</w:t>
            </w:r>
            <w:r w:rsidR="00E23C50">
              <w:t>sis has created unpredictable increases</w:t>
            </w:r>
            <w:r>
              <w:t xml:space="preserve"> in costs and pressure on the state general fund every five years (when re-evaluations happen)</w:t>
            </w:r>
          </w:p>
        </w:tc>
        <w:tc>
          <w:tcPr>
            <w:tcW w:w="2531" w:type="dxa"/>
          </w:tcPr>
          <w:p w:rsidR="004E0EF6" w:rsidRDefault="004E0EF6" w:rsidP="004E0EF6">
            <w:r>
              <w:t>High – and backed up by data (graphs)</w:t>
            </w:r>
          </w:p>
        </w:tc>
      </w:tr>
      <w:tr w:rsidR="00E23C50" w:rsidTr="00092A43">
        <w:tc>
          <w:tcPr>
            <w:tcW w:w="7045" w:type="dxa"/>
          </w:tcPr>
          <w:p w:rsidR="00E23C50" w:rsidRDefault="00E23C50" w:rsidP="00E96086">
            <w:pPr>
              <w:ind w:left="360"/>
            </w:pPr>
            <w:r>
              <w:t>Increases in valuations are unlikely for the next round, given the current real estate market</w:t>
            </w:r>
          </w:p>
        </w:tc>
        <w:tc>
          <w:tcPr>
            <w:tcW w:w="2531" w:type="dxa"/>
          </w:tcPr>
          <w:p w:rsidR="00E23C50" w:rsidRDefault="00E23C50" w:rsidP="004E0EF6">
            <w:r>
              <w:t>Low</w:t>
            </w:r>
          </w:p>
        </w:tc>
      </w:tr>
      <w:tr w:rsidR="004E0EF6" w:rsidTr="00092A43">
        <w:tc>
          <w:tcPr>
            <w:tcW w:w="7045" w:type="dxa"/>
          </w:tcPr>
          <w:p w:rsidR="004E0EF6" w:rsidRDefault="004E0EF6" w:rsidP="00CB3081">
            <w:pPr>
              <w:ind w:left="360"/>
            </w:pPr>
            <w:r>
              <w:t xml:space="preserve">The ad valorem basis creates a disincentive for the DNR to purchase land in the metro area and an incentive to purchase land in greater </w:t>
            </w:r>
            <w:r w:rsidR="00CB3081">
              <w:t>MN</w:t>
            </w:r>
          </w:p>
        </w:tc>
        <w:tc>
          <w:tcPr>
            <w:tcW w:w="2531" w:type="dxa"/>
          </w:tcPr>
          <w:p w:rsidR="004E0EF6" w:rsidRDefault="004E0EF6" w:rsidP="00CB3081">
            <w:r>
              <w:t xml:space="preserve">Low </w:t>
            </w:r>
            <w:r w:rsidR="00E96086">
              <w:t xml:space="preserve">– not certain that PILT is a major factor </w:t>
            </w:r>
            <w:r w:rsidR="00CB3081">
              <w:t>in these decisions</w:t>
            </w:r>
          </w:p>
        </w:tc>
      </w:tr>
      <w:tr w:rsidR="00E96086" w:rsidTr="00092A43">
        <w:tc>
          <w:tcPr>
            <w:tcW w:w="7045" w:type="dxa"/>
          </w:tcPr>
          <w:p w:rsidR="00E96086" w:rsidRDefault="00E96086" w:rsidP="00E96086">
            <w:pPr>
              <w:ind w:left="360"/>
            </w:pPr>
            <w:r>
              <w:t xml:space="preserve">If ad valorem continues as the basis for compensation, the state should have the right to contest assessed values </w:t>
            </w:r>
          </w:p>
        </w:tc>
        <w:tc>
          <w:tcPr>
            <w:tcW w:w="2531" w:type="dxa"/>
          </w:tcPr>
          <w:p w:rsidR="00E96086" w:rsidRDefault="00CB3081" w:rsidP="00E96086">
            <w:r>
              <w:t>High</w:t>
            </w:r>
          </w:p>
        </w:tc>
      </w:tr>
      <w:tr w:rsidR="009E6532" w:rsidTr="00092A43">
        <w:tc>
          <w:tcPr>
            <w:tcW w:w="7045" w:type="dxa"/>
          </w:tcPr>
          <w:p w:rsidR="009E6532" w:rsidRDefault="009E6532" w:rsidP="00DA47B2">
            <w:pPr>
              <w:ind w:left="360"/>
            </w:pPr>
            <w:r>
              <w:t xml:space="preserve">Land values change based on the </w:t>
            </w:r>
            <w:r w:rsidR="0083478E">
              <w:t xml:space="preserve">use and </w:t>
            </w:r>
            <w:r w:rsidR="00DA47B2">
              <w:t>management of the land</w:t>
            </w:r>
          </w:p>
        </w:tc>
        <w:tc>
          <w:tcPr>
            <w:tcW w:w="2531" w:type="dxa"/>
          </w:tcPr>
          <w:p w:rsidR="009E6532" w:rsidRDefault="009E6532" w:rsidP="00E96086">
            <w:r>
              <w:t>Factual?</w:t>
            </w:r>
          </w:p>
        </w:tc>
      </w:tr>
      <w:tr w:rsidR="0083478E" w:rsidTr="00092A43">
        <w:tc>
          <w:tcPr>
            <w:tcW w:w="7045" w:type="dxa"/>
          </w:tcPr>
          <w:p w:rsidR="0083478E" w:rsidRDefault="0083478E" w:rsidP="00E96086">
            <w:pPr>
              <w:ind w:left="360"/>
            </w:pPr>
            <w:r>
              <w:t>If you don’t adjust the percentage (from ¾ of 1%), it would be extremely expensive to switch all land to ad valorem based compensation</w:t>
            </w:r>
            <w:r w:rsidR="00E23C50">
              <w:t>. Much of the increase would be due to shoreline values.</w:t>
            </w:r>
          </w:p>
        </w:tc>
        <w:tc>
          <w:tcPr>
            <w:tcW w:w="2531" w:type="dxa"/>
          </w:tcPr>
          <w:p w:rsidR="0083478E" w:rsidRDefault="0083478E" w:rsidP="00E96086">
            <w:r>
              <w:t>1994 analysis</w:t>
            </w:r>
          </w:p>
        </w:tc>
      </w:tr>
      <w:tr w:rsidR="004E0EF6" w:rsidTr="00092A43">
        <w:tc>
          <w:tcPr>
            <w:tcW w:w="7045" w:type="dxa"/>
          </w:tcPr>
          <w:p w:rsidR="004E0EF6" w:rsidRDefault="004E0EF6" w:rsidP="00FE303D">
            <w:r>
              <w:t>A flat rate (or a menu of flat rates)</w:t>
            </w:r>
            <w:r w:rsidR="004452A8">
              <w:t xml:space="preserve"> would reduce unpredictability and prevent unintended windfalls in high-value areas, but would also be a departure from the original </w:t>
            </w:r>
            <w:r w:rsidR="004452A8" w:rsidRPr="004452A8">
              <w:rPr>
                <w:i/>
              </w:rPr>
              <w:t>in lieu of taxation</w:t>
            </w:r>
            <w:r w:rsidR="004452A8">
              <w:t xml:space="preserve"> purpose</w:t>
            </w:r>
          </w:p>
        </w:tc>
        <w:tc>
          <w:tcPr>
            <w:tcW w:w="2531" w:type="dxa"/>
          </w:tcPr>
          <w:p w:rsidR="004E0EF6" w:rsidRDefault="004452A8" w:rsidP="004E0EF6">
            <w:r>
              <w:t>Not sure</w:t>
            </w:r>
          </w:p>
        </w:tc>
      </w:tr>
      <w:tr w:rsidR="004452A8" w:rsidTr="00092A43">
        <w:tc>
          <w:tcPr>
            <w:tcW w:w="7045" w:type="dxa"/>
          </w:tcPr>
          <w:p w:rsidR="004452A8" w:rsidRDefault="004452A8" w:rsidP="00FE303D">
            <w:r>
              <w:t>Any flat rate (or menu of flat rates)</w:t>
            </w:r>
            <w:r w:rsidR="00E96086">
              <w:t xml:space="preserve"> should be adjusted for inflation</w:t>
            </w:r>
          </w:p>
        </w:tc>
        <w:tc>
          <w:tcPr>
            <w:tcW w:w="2531" w:type="dxa"/>
          </w:tcPr>
          <w:p w:rsidR="004452A8" w:rsidRDefault="003F3DE0" w:rsidP="004E0EF6">
            <w:r>
              <w:t>High</w:t>
            </w:r>
          </w:p>
        </w:tc>
      </w:tr>
      <w:tr w:rsidR="00E96086" w:rsidTr="00092A43">
        <w:tc>
          <w:tcPr>
            <w:tcW w:w="7045" w:type="dxa"/>
          </w:tcPr>
          <w:p w:rsidR="00E96086" w:rsidRDefault="00E96086" w:rsidP="009E6532">
            <w:r w:rsidRPr="0067352F">
              <w:rPr>
                <w:b/>
              </w:rPr>
              <w:t>Whether ad valorem or flat</w:t>
            </w:r>
            <w:r>
              <w:t xml:space="preserve">, </w:t>
            </w:r>
            <w:r w:rsidR="00DA47B2">
              <w:t xml:space="preserve">rates set for specific classes of lands should take into account the </w:t>
            </w:r>
            <w:r w:rsidR="009E6532">
              <w:t>following considerations:</w:t>
            </w:r>
          </w:p>
          <w:p w:rsidR="00E23C50" w:rsidRDefault="00E23C50" w:rsidP="00E23C50">
            <w:pPr>
              <w:pStyle w:val="ListParagraph"/>
              <w:numPr>
                <w:ilvl w:val="0"/>
                <w:numId w:val="3"/>
              </w:numPr>
            </w:pPr>
            <w:r>
              <w:t>The reason the state acquired the land</w:t>
            </w:r>
          </w:p>
          <w:p w:rsidR="00E23C50" w:rsidRDefault="00E23C50" w:rsidP="00E23C50">
            <w:pPr>
              <w:pStyle w:val="ListParagraph"/>
              <w:numPr>
                <w:ilvl w:val="0"/>
                <w:numId w:val="3"/>
              </w:numPr>
            </w:pPr>
            <w:r>
              <w:t>The discretion that the county has to sell the land</w:t>
            </w:r>
          </w:p>
          <w:p w:rsidR="00E23C50" w:rsidRDefault="00E23C50" w:rsidP="00E23C50">
            <w:pPr>
              <w:pStyle w:val="ListParagraph"/>
              <w:numPr>
                <w:ilvl w:val="0"/>
                <w:numId w:val="3"/>
              </w:numPr>
            </w:pPr>
            <w:r>
              <w:t>Where the revenue generated from the lands goes (to the county, to the state) – and the net to all tax districts</w:t>
            </w:r>
          </w:p>
          <w:p w:rsidR="00E23C50" w:rsidRDefault="00E23C50" w:rsidP="00E23C50">
            <w:pPr>
              <w:pStyle w:val="ListParagraph"/>
              <w:numPr>
                <w:ilvl w:val="0"/>
                <w:numId w:val="3"/>
              </w:numPr>
            </w:pPr>
            <w:r>
              <w:t>The character of the land (wetland, etc.)</w:t>
            </w:r>
          </w:p>
          <w:p w:rsidR="00E23C50" w:rsidRDefault="00E23C50" w:rsidP="00E23C50">
            <w:pPr>
              <w:pStyle w:val="ListParagraph"/>
              <w:numPr>
                <w:ilvl w:val="1"/>
                <w:numId w:val="3"/>
              </w:numPr>
            </w:pPr>
            <w:r>
              <w:t>Note that the public value of the land may differ from the private (market) value</w:t>
            </w:r>
          </w:p>
        </w:tc>
        <w:tc>
          <w:tcPr>
            <w:tcW w:w="2531" w:type="dxa"/>
          </w:tcPr>
          <w:p w:rsidR="00E96086" w:rsidRDefault="0067352F" w:rsidP="004E0EF6">
            <w:r>
              <w:t>High –“ a good start”</w:t>
            </w:r>
          </w:p>
        </w:tc>
      </w:tr>
      <w:tr w:rsidR="00274153" w:rsidTr="00092A43">
        <w:tc>
          <w:tcPr>
            <w:tcW w:w="7045" w:type="dxa"/>
          </w:tcPr>
          <w:p w:rsidR="00274153" w:rsidRPr="00274153" w:rsidRDefault="00274153" w:rsidP="009E6532">
            <w:r>
              <w:t>If compensation continues to be based on land values, the state should ensure compliance with existing valuation standards</w:t>
            </w:r>
          </w:p>
        </w:tc>
        <w:tc>
          <w:tcPr>
            <w:tcW w:w="2531" w:type="dxa"/>
          </w:tcPr>
          <w:p w:rsidR="00274153" w:rsidRDefault="00274153" w:rsidP="004E0EF6">
            <w:r>
              <w:t>High</w:t>
            </w:r>
          </w:p>
        </w:tc>
      </w:tr>
      <w:tr w:rsidR="00274153" w:rsidTr="00092A43">
        <w:tc>
          <w:tcPr>
            <w:tcW w:w="7045" w:type="dxa"/>
          </w:tcPr>
          <w:p w:rsidR="00274153" w:rsidRDefault="00274153" w:rsidP="009E6532">
            <w:r>
              <w:t xml:space="preserve">If compensation continues to be based on land values, the DNR and county assessors should work to simplify assessment methods. This would include enhancements to land identification, especially with respect to waterfront property, and </w:t>
            </w:r>
            <w:r w:rsidR="00CB3081">
              <w:t xml:space="preserve">overall </w:t>
            </w:r>
            <w:r>
              <w:t>process simplification.</w:t>
            </w:r>
          </w:p>
        </w:tc>
        <w:tc>
          <w:tcPr>
            <w:tcW w:w="2531" w:type="dxa"/>
          </w:tcPr>
          <w:p w:rsidR="00274153" w:rsidRDefault="00CB3081" w:rsidP="00C33215">
            <w:r>
              <w:t xml:space="preserve">MDOR </w:t>
            </w:r>
            <w:r w:rsidR="00C33215">
              <w:t xml:space="preserve">survey suggested changes to facilitate valuation of exempt land. </w:t>
            </w:r>
          </w:p>
        </w:tc>
      </w:tr>
    </w:tbl>
    <w:p w:rsidR="009B6E38" w:rsidRPr="00FE303D" w:rsidRDefault="009B6E38" w:rsidP="009B6E38">
      <w:pPr>
        <w:rPr>
          <w:b/>
          <w:sz w:val="28"/>
          <w:szCs w:val="28"/>
        </w:rPr>
      </w:pPr>
      <w:r w:rsidRPr="00FE303D">
        <w:rPr>
          <w:b/>
          <w:sz w:val="28"/>
          <w:szCs w:val="28"/>
        </w:rPr>
        <w:lastRenderedPageBreak/>
        <w:t>The adequacy of current funding for payments and the impact of additional land acquisition on the funding</w:t>
      </w:r>
    </w:p>
    <w:tbl>
      <w:tblPr>
        <w:tblStyle w:val="TableGrid"/>
        <w:tblW w:w="0" w:type="auto"/>
        <w:tblCellMar>
          <w:top w:w="29" w:type="dxa"/>
          <w:left w:w="115" w:type="dxa"/>
          <w:bottom w:w="29" w:type="dxa"/>
          <w:right w:w="115" w:type="dxa"/>
        </w:tblCellMar>
        <w:tblLook w:val="04A0"/>
      </w:tblPr>
      <w:tblGrid>
        <w:gridCol w:w="7045"/>
        <w:gridCol w:w="2531"/>
      </w:tblGrid>
      <w:tr w:rsidR="00C228DB" w:rsidTr="00FE303D">
        <w:tc>
          <w:tcPr>
            <w:tcW w:w="7045" w:type="dxa"/>
            <w:shd w:val="clear" w:color="auto" w:fill="DAEEF3" w:themeFill="accent5" w:themeFillTint="33"/>
          </w:tcPr>
          <w:p w:rsidR="00C228DB" w:rsidRPr="00C228DB" w:rsidRDefault="00C228DB" w:rsidP="00092A43">
            <w:pPr>
              <w:rPr>
                <w:b/>
              </w:rPr>
            </w:pPr>
            <w:r w:rsidRPr="00C228DB">
              <w:rPr>
                <w:b/>
              </w:rPr>
              <w:t>Analysis/Recommendations thus far</w:t>
            </w:r>
          </w:p>
        </w:tc>
        <w:tc>
          <w:tcPr>
            <w:tcW w:w="2531" w:type="dxa"/>
            <w:shd w:val="clear" w:color="auto" w:fill="DAEEF3" w:themeFill="accent5" w:themeFillTint="33"/>
          </w:tcPr>
          <w:p w:rsidR="00C228DB" w:rsidRPr="00C228DB" w:rsidRDefault="00C228DB" w:rsidP="00092A43">
            <w:pPr>
              <w:rPr>
                <w:b/>
              </w:rPr>
            </w:pPr>
            <w:r w:rsidRPr="00C228DB">
              <w:rPr>
                <w:b/>
              </w:rPr>
              <w:t>Level of agreement</w:t>
            </w:r>
          </w:p>
        </w:tc>
      </w:tr>
      <w:tr w:rsidR="009E6532" w:rsidTr="00092A43">
        <w:tc>
          <w:tcPr>
            <w:tcW w:w="7045" w:type="dxa"/>
          </w:tcPr>
          <w:p w:rsidR="009E6532" w:rsidRDefault="009E6532" w:rsidP="00FE303D">
            <w:r>
              <w:t>The group does not want to comment on overall “adequacy.” There is no extra GF money to put towards PILT, so we see it as a distribution matter.</w:t>
            </w:r>
          </w:p>
        </w:tc>
        <w:tc>
          <w:tcPr>
            <w:tcW w:w="2531" w:type="dxa"/>
          </w:tcPr>
          <w:p w:rsidR="009E6532" w:rsidRDefault="00DA47B2" w:rsidP="00FE303D">
            <w:r>
              <w:t>Moderate – need to check-in</w:t>
            </w:r>
          </w:p>
        </w:tc>
      </w:tr>
      <w:tr w:rsidR="00C228DB" w:rsidTr="00092A43">
        <w:tc>
          <w:tcPr>
            <w:tcW w:w="7045" w:type="dxa"/>
          </w:tcPr>
          <w:p w:rsidR="00C228DB" w:rsidRDefault="00FE303D" w:rsidP="00FE303D">
            <w:r>
              <w:t>Increased land acquisition is not the primary driver of PILT payment increases – increased land valuation is the primary driver</w:t>
            </w:r>
          </w:p>
        </w:tc>
        <w:tc>
          <w:tcPr>
            <w:tcW w:w="2531" w:type="dxa"/>
          </w:tcPr>
          <w:p w:rsidR="00C228DB" w:rsidRDefault="00FE303D" w:rsidP="00FE303D">
            <w:r>
              <w:t xml:space="preserve">Conclusion from data – do we need to agree on this? </w:t>
            </w:r>
          </w:p>
        </w:tc>
      </w:tr>
      <w:tr w:rsidR="00C228DB" w:rsidTr="00092A43">
        <w:tc>
          <w:tcPr>
            <w:tcW w:w="7045" w:type="dxa"/>
          </w:tcPr>
          <w:p w:rsidR="00C228DB" w:rsidRDefault="009E6532" w:rsidP="00092A43">
            <w:r>
              <w:t xml:space="preserve">The </w:t>
            </w:r>
            <w:r w:rsidRPr="009E6532">
              <w:rPr>
                <w:i/>
              </w:rPr>
              <w:t>perception</w:t>
            </w:r>
            <w:r>
              <w:t xml:space="preserve"> appears to be that payment increases are driven by land acquisition – whether DNR or LSOHC</w:t>
            </w:r>
          </w:p>
        </w:tc>
        <w:tc>
          <w:tcPr>
            <w:tcW w:w="2531" w:type="dxa"/>
          </w:tcPr>
          <w:p w:rsidR="00C228DB" w:rsidRDefault="009E6532" w:rsidP="00092A43">
            <w:r>
              <w:t>High</w:t>
            </w:r>
          </w:p>
        </w:tc>
      </w:tr>
      <w:tr w:rsidR="0067352F" w:rsidTr="00092A43">
        <w:tc>
          <w:tcPr>
            <w:tcW w:w="7045" w:type="dxa"/>
          </w:tcPr>
          <w:p w:rsidR="0067352F" w:rsidRDefault="0067352F" w:rsidP="0067352F">
            <w:r>
              <w:t>Recent decisions in various jurisdictions to bar acquisition or to establish “no net gain” are not a signal that PILT is inadequate – they tend to increase when PILT is threatened</w:t>
            </w:r>
            <w:r w:rsidR="0034339B">
              <w:t xml:space="preserve"> with reduction or elimination, and also can be</w:t>
            </w:r>
            <w:r>
              <w:t xml:space="preserve"> in response to other dynamics (such as economic development needs, disagreement with land management)</w:t>
            </w:r>
          </w:p>
        </w:tc>
        <w:tc>
          <w:tcPr>
            <w:tcW w:w="2531" w:type="dxa"/>
          </w:tcPr>
          <w:p w:rsidR="0067352F" w:rsidRDefault="0067352F" w:rsidP="00092A43">
            <w:r>
              <w:t>High</w:t>
            </w:r>
          </w:p>
        </w:tc>
      </w:tr>
    </w:tbl>
    <w:p w:rsidR="009B6E38" w:rsidRDefault="009B6E38" w:rsidP="009B6E38"/>
    <w:p w:rsidR="0034339B" w:rsidRDefault="009B6E38" w:rsidP="009B6E38">
      <w:pPr>
        <w:rPr>
          <w:b/>
          <w:sz w:val="28"/>
          <w:szCs w:val="28"/>
        </w:rPr>
      </w:pPr>
      <w:r w:rsidRPr="0034339B">
        <w:rPr>
          <w:b/>
          <w:sz w:val="28"/>
          <w:szCs w:val="28"/>
        </w:rPr>
        <w:t>Alternative methods of reimbursing local units of governments for s</w:t>
      </w:r>
      <w:r w:rsidR="00C228DB" w:rsidRPr="0034339B">
        <w:rPr>
          <w:b/>
          <w:sz w:val="28"/>
          <w:szCs w:val="28"/>
        </w:rPr>
        <w:t xml:space="preserve">tate natural </w:t>
      </w:r>
      <w:r w:rsidR="0034339B" w:rsidRPr="0034339B">
        <w:rPr>
          <w:b/>
          <w:sz w:val="28"/>
          <w:szCs w:val="28"/>
        </w:rPr>
        <w:t>resource lands</w:t>
      </w:r>
    </w:p>
    <w:tbl>
      <w:tblPr>
        <w:tblStyle w:val="TableGrid"/>
        <w:tblW w:w="0" w:type="auto"/>
        <w:tblCellMar>
          <w:top w:w="29" w:type="dxa"/>
          <w:left w:w="115" w:type="dxa"/>
          <w:bottom w:w="29" w:type="dxa"/>
          <w:right w:w="115" w:type="dxa"/>
        </w:tblCellMar>
        <w:tblLook w:val="04A0"/>
      </w:tblPr>
      <w:tblGrid>
        <w:gridCol w:w="7045"/>
        <w:gridCol w:w="2531"/>
      </w:tblGrid>
      <w:tr w:rsidR="007360EE" w:rsidTr="007360EE">
        <w:tc>
          <w:tcPr>
            <w:tcW w:w="7045" w:type="dxa"/>
            <w:shd w:val="clear" w:color="auto" w:fill="DAEEF3" w:themeFill="accent5" w:themeFillTint="33"/>
          </w:tcPr>
          <w:p w:rsidR="007360EE" w:rsidRPr="00C228DB" w:rsidRDefault="007360EE" w:rsidP="007360EE">
            <w:pPr>
              <w:rPr>
                <w:b/>
              </w:rPr>
            </w:pPr>
            <w:r w:rsidRPr="00C228DB">
              <w:rPr>
                <w:b/>
              </w:rPr>
              <w:t>Analysis/Recommendations thus far</w:t>
            </w:r>
          </w:p>
        </w:tc>
        <w:tc>
          <w:tcPr>
            <w:tcW w:w="2531" w:type="dxa"/>
            <w:shd w:val="clear" w:color="auto" w:fill="DAEEF3" w:themeFill="accent5" w:themeFillTint="33"/>
          </w:tcPr>
          <w:p w:rsidR="007360EE" w:rsidRPr="00C228DB" w:rsidRDefault="007360EE" w:rsidP="007360EE">
            <w:pPr>
              <w:rPr>
                <w:b/>
              </w:rPr>
            </w:pPr>
            <w:r w:rsidRPr="00C228DB">
              <w:rPr>
                <w:b/>
              </w:rPr>
              <w:t>Level of agreement</w:t>
            </w:r>
          </w:p>
        </w:tc>
      </w:tr>
      <w:tr w:rsidR="007360EE" w:rsidTr="007360EE">
        <w:tc>
          <w:tcPr>
            <w:tcW w:w="7045" w:type="dxa"/>
          </w:tcPr>
          <w:p w:rsidR="007360EE" w:rsidRDefault="003F37A0" w:rsidP="007360EE">
            <w:r>
              <w:t>Other states’ research shows alternative methods vary from state to state, e.g.:</w:t>
            </w:r>
          </w:p>
          <w:p w:rsidR="003F37A0" w:rsidRDefault="003F37A0" w:rsidP="003F37A0">
            <w:pPr>
              <w:pStyle w:val="ListParagraph"/>
              <w:numPr>
                <w:ilvl w:val="0"/>
                <w:numId w:val="4"/>
              </w:numPr>
            </w:pPr>
            <w:r>
              <w:t>Property taxes paid, or a portion of property taxes that would be paid (WI, IN, ND, NE, IA)</w:t>
            </w:r>
          </w:p>
          <w:p w:rsidR="003F37A0" w:rsidRDefault="003F37A0" w:rsidP="003F37A0">
            <w:pPr>
              <w:pStyle w:val="ListParagraph"/>
              <w:numPr>
                <w:ilvl w:val="0"/>
                <w:numId w:val="4"/>
              </w:numPr>
            </w:pPr>
            <w:r>
              <w:t>Based on proportion of land owned by the state (CT, NJ)</w:t>
            </w:r>
          </w:p>
          <w:p w:rsidR="003F37A0" w:rsidRDefault="003F37A0" w:rsidP="003F37A0">
            <w:pPr>
              <w:pStyle w:val="ListParagraph"/>
              <w:numPr>
                <w:ilvl w:val="0"/>
                <w:numId w:val="4"/>
              </w:numPr>
            </w:pPr>
            <w:r>
              <w:t>Straight (flat) rates (UT, PA)</w:t>
            </w:r>
          </w:p>
        </w:tc>
        <w:tc>
          <w:tcPr>
            <w:tcW w:w="2531" w:type="dxa"/>
          </w:tcPr>
          <w:p w:rsidR="007360EE" w:rsidRDefault="003F37A0" w:rsidP="007360EE">
            <w:r>
              <w:t>Research presentation – DNR</w:t>
            </w:r>
          </w:p>
        </w:tc>
      </w:tr>
      <w:tr w:rsidR="007360EE" w:rsidTr="007360EE">
        <w:tc>
          <w:tcPr>
            <w:tcW w:w="7045" w:type="dxa"/>
          </w:tcPr>
          <w:p w:rsidR="007360EE" w:rsidRDefault="003F37A0" w:rsidP="007360EE">
            <w:r>
              <w:t>Dedicated trust funds, established at the time of land acquisition, could fund PILT obligations with no general fund dollars.</w:t>
            </w:r>
          </w:p>
        </w:tc>
        <w:tc>
          <w:tcPr>
            <w:tcW w:w="2531" w:type="dxa"/>
          </w:tcPr>
          <w:p w:rsidR="007360EE" w:rsidRDefault="007360EE" w:rsidP="003F37A0">
            <w:r>
              <w:t xml:space="preserve">Presentation </w:t>
            </w:r>
            <w:r w:rsidR="003F37A0">
              <w:t>by local government representatives</w:t>
            </w:r>
          </w:p>
        </w:tc>
      </w:tr>
    </w:tbl>
    <w:p w:rsidR="00092A43" w:rsidRPr="0034339B" w:rsidRDefault="00092A43" w:rsidP="009B6E38">
      <w:pPr>
        <w:rPr>
          <w:b/>
          <w:sz w:val="28"/>
          <w:szCs w:val="28"/>
        </w:rPr>
      </w:pPr>
    </w:p>
    <w:p w:rsidR="009B6E38" w:rsidRDefault="009B6E38" w:rsidP="009B6E38"/>
    <w:p w:rsidR="003635A3" w:rsidRPr="00F8645B" w:rsidRDefault="009B6E38" w:rsidP="009B6E38">
      <w:pPr>
        <w:rPr>
          <w:b/>
        </w:rPr>
      </w:pPr>
      <w:r w:rsidRPr="0034339B">
        <w:rPr>
          <w:b/>
          <w:sz w:val="28"/>
          <w:szCs w:val="28"/>
        </w:rPr>
        <w:t>The formula for distribution of the payments to local units of government</w:t>
      </w:r>
    </w:p>
    <w:tbl>
      <w:tblPr>
        <w:tblStyle w:val="TableGrid"/>
        <w:tblW w:w="0" w:type="auto"/>
        <w:tblCellMar>
          <w:top w:w="29" w:type="dxa"/>
          <w:left w:w="115" w:type="dxa"/>
          <w:bottom w:w="29" w:type="dxa"/>
          <w:right w:w="115" w:type="dxa"/>
        </w:tblCellMar>
        <w:tblLook w:val="04A0"/>
      </w:tblPr>
      <w:tblGrid>
        <w:gridCol w:w="7045"/>
        <w:gridCol w:w="2531"/>
      </w:tblGrid>
      <w:tr w:rsidR="00C228DB" w:rsidTr="0034339B">
        <w:tc>
          <w:tcPr>
            <w:tcW w:w="7045" w:type="dxa"/>
            <w:shd w:val="clear" w:color="auto" w:fill="DAEEF3" w:themeFill="accent5" w:themeFillTint="33"/>
          </w:tcPr>
          <w:p w:rsidR="00C228DB" w:rsidRPr="00C228DB" w:rsidRDefault="00C228DB" w:rsidP="00092A43">
            <w:pPr>
              <w:rPr>
                <w:b/>
              </w:rPr>
            </w:pPr>
            <w:r w:rsidRPr="00C228DB">
              <w:rPr>
                <w:b/>
              </w:rPr>
              <w:t>Analysis/Recommendations thus far</w:t>
            </w:r>
          </w:p>
        </w:tc>
        <w:tc>
          <w:tcPr>
            <w:tcW w:w="2531" w:type="dxa"/>
            <w:shd w:val="clear" w:color="auto" w:fill="DAEEF3" w:themeFill="accent5" w:themeFillTint="33"/>
          </w:tcPr>
          <w:p w:rsidR="00C228DB" w:rsidRPr="00C228DB" w:rsidRDefault="00C228DB" w:rsidP="00092A43">
            <w:pPr>
              <w:rPr>
                <w:b/>
              </w:rPr>
            </w:pPr>
            <w:r w:rsidRPr="00C228DB">
              <w:rPr>
                <w:b/>
              </w:rPr>
              <w:t>Level of agreement</w:t>
            </w:r>
          </w:p>
        </w:tc>
      </w:tr>
      <w:tr w:rsidR="00C228DB" w:rsidTr="00092A43">
        <w:tc>
          <w:tcPr>
            <w:tcW w:w="7045" w:type="dxa"/>
          </w:tcPr>
          <w:p w:rsidR="00C228DB" w:rsidRDefault="00C228DB" w:rsidP="00DA47B2">
            <w:r>
              <w:t xml:space="preserve">The formula </w:t>
            </w:r>
            <w:r w:rsidR="00DA47B2">
              <w:t>should not</w:t>
            </w:r>
            <w:r>
              <w:t xml:space="preserve"> include school districts in the distribution</w:t>
            </w:r>
            <w:r w:rsidR="00F8645B">
              <w:t xml:space="preserve"> (except for th</w:t>
            </w:r>
            <w:r w:rsidR="005C3E73">
              <w:t>e Vermillion/Soudan distribution)</w:t>
            </w:r>
          </w:p>
        </w:tc>
        <w:tc>
          <w:tcPr>
            <w:tcW w:w="2531" w:type="dxa"/>
          </w:tcPr>
          <w:p w:rsidR="00C228DB" w:rsidRDefault="00F8645B" w:rsidP="00092A43">
            <w:r>
              <w:t>Not sure – need to test</w:t>
            </w:r>
          </w:p>
        </w:tc>
      </w:tr>
      <w:tr w:rsidR="00C228DB" w:rsidTr="00092A43">
        <w:tc>
          <w:tcPr>
            <w:tcW w:w="7045" w:type="dxa"/>
          </w:tcPr>
          <w:p w:rsidR="00C228DB" w:rsidRDefault="003F3DE0" w:rsidP="00C33215">
            <w:r>
              <w:t xml:space="preserve">There is concern that </w:t>
            </w:r>
            <w:r w:rsidR="00C33215">
              <w:t xml:space="preserve">a </w:t>
            </w:r>
            <w:r>
              <w:t>distribution to school districts would be absorbe</w:t>
            </w:r>
            <w:r w:rsidR="00C33215">
              <w:t>d by the school funding formula, rather than</w:t>
            </w:r>
            <w:bookmarkStart w:id="0" w:name="_GoBack"/>
            <w:bookmarkEnd w:id="0"/>
            <w:r w:rsidR="00C33215">
              <w:t xml:space="preserve"> distributed to the school districts where natural resources lands are located. </w:t>
            </w:r>
            <w:r>
              <w:t>(equalization payments)</w:t>
            </w:r>
          </w:p>
        </w:tc>
        <w:tc>
          <w:tcPr>
            <w:tcW w:w="2531" w:type="dxa"/>
          </w:tcPr>
          <w:p w:rsidR="00C228DB" w:rsidRDefault="003F3DE0" w:rsidP="00092A43">
            <w:r>
              <w:t>Presentation on school funding formula</w:t>
            </w:r>
          </w:p>
        </w:tc>
      </w:tr>
    </w:tbl>
    <w:p w:rsidR="009B6E38" w:rsidRDefault="009B6E38" w:rsidP="009B6E38"/>
    <w:p w:rsidR="009B6E38" w:rsidRDefault="009B6E38" w:rsidP="009B6E38"/>
    <w:sectPr w:rsidR="009B6E38" w:rsidSect="00093E5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AD3" w:rsidRDefault="00467AD3" w:rsidP="00E23C50">
      <w:r>
        <w:separator/>
      </w:r>
    </w:p>
  </w:endnote>
  <w:endnote w:type="continuationSeparator" w:id="0">
    <w:p w:rsidR="00467AD3" w:rsidRDefault="00467AD3" w:rsidP="00E23C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520372"/>
      <w:docPartObj>
        <w:docPartGallery w:val="Page Numbers (Bottom of Page)"/>
        <w:docPartUnique/>
      </w:docPartObj>
    </w:sdtPr>
    <w:sdtEndPr>
      <w:rPr>
        <w:noProof/>
      </w:rPr>
    </w:sdtEndPr>
    <w:sdtContent>
      <w:p w:rsidR="00274153" w:rsidRDefault="00093E54">
        <w:pPr>
          <w:pStyle w:val="Footer"/>
          <w:jc w:val="center"/>
        </w:pPr>
        <w:r>
          <w:fldChar w:fldCharType="begin"/>
        </w:r>
        <w:r w:rsidR="00274153">
          <w:instrText xml:space="preserve"> PAGE   \* MERGEFORMAT </w:instrText>
        </w:r>
        <w:r>
          <w:fldChar w:fldCharType="separate"/>
        </w:r>
        <w:r w:rsidR="00545154">
          <w:rPr>
            <w:noProof/>
          </w:rPr>
          <w:t>3</w:t>
        </w:r>
        <w:r>
          <w:rPr>
            <w:noProof/>
          </w:rPr>
          <w:fldChar w:fldCharType="end"/>
        </w:r>
      </w:p>
    </w:sdtContent>
  </w:sdt>
  <w:p w:rsidR="00274153" w:rsidRDefault="002741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AD3" w:rsidRDefault="00467AD3" w:rsidP="00E23C50">
      <w:r>
        <w:separator/>
      </w:r>
    </w:p>
  </w:footnote>
  <w:footnote w:type="continuationSeparator" w:id="0">
    <w:p w:rsidR="00467AD3" w:rsidRDefault="00467AD3" w:rsidP="00E23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153" w:rsidRDefault="00274153">
    <w:pPr>
      <w:pStyle w:val="Header"/>
    </w:pPr>
    <w:r>
      <w:t>PILT Report</w:t>
    </w:r>
    <w:r>
      <w:ptab w:relativeTo="margin" w:alignment="center" w:leader="none"/>
    </w:r>
    <w:r>
      <w:t>Summary of analysis/recommendations</w:t>
    </w:r>
    <w:r>
      <w:ptab w:relativeTo="margin" w:alignment="right" w:leader="none"/>
    </w:r>
    <w:r>
      <w:t>July 26 update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D785C"/>
    <w:multiLevelType w:val="hybridMultilevel"/>
    <w:tmpl w:val="8A70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3797B"/>
    <w:multiLevelType w:val="hybridMultilevel"/>
    <w:tmpl w:val="64F473AC"/>
    <w:lvl w:ilvl="0" w:tplc="AC360B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F5397"/>
    <w:multiLevelType w:val="hybridMultilevel"/>
    <w:tmpl w:val="028C1B32"/>
    <w:lvl w:ilvl="0" w:tplc="AC360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016BBC"/>
    <w:multiLevelType w:val="hybridMultilevel"/>
    <w:tmpl w:val="D878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B6E38"/>
    <w:rsid w:val="00092A43"/>
    <w:rsid w:val="00093E54"/>
    <w:rsid w:val="001F6F9D"/>
    <w:rsid w:val="00274153"/>
    <w:rsid w:val="0034339B"/>
    <w:rsid w:val="003635A3"/>
    <w:rsid w:val="003F37A0"/>
    <w:rsid w:val="003F3DE0"/>
    <w:rsid w:val="004452A8"/>
    <w:rsid w:val="00467AD3"/>
    <w:rsid w:val="004E0EF6"/>
    <w:rsid w:val="00501430"/>
    <w:rsid w:val="00545154"/>
    <w:rsid w:val="005C3E73"/>
    <w:rsid w:val="0067352F"/>
    <w:rsid w:val="006B6C8D"/>
    <w:rsid w:val="007360EE"/>
    <w:rsid w:val="007D5804"/>
    <w:rsid w:val="00805599"/>
    <w:rsid w:val="0083478E"/>
    <w:rsid w:val="009B6E38"/>
    <w:rsid w:val="009E6532"/>
    <w:rsid w:val="00B17679"/>
    <w:rsid w:val="00C228DB"/>
    <w:rsid w:val="00C33215"/>
    <w:rsid w:val="00CB3081"/>
    <w:rsid w:val="00DA47B2"/>
    <w:rsid w:val="00E23C50"/>
    <w:rsid w:val="00E96086"/>
    <w:rsid w:val="00F8645B"/>
    <w:rsid w:val="00FE3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C8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E38"/>
    <w:pPr>
      <w:ind w:left="720"/>
      <w:contextualSpacing/>
    </w:pPr>
  </w:style>
  <w:style w:type="table" w:styleId="TableGrid">
    <w:name w:val="Table Grid"/>
    <w:basedOn w:val="TableNormal"/>
    <w:uiPriority w:val="59"/>
    <w:rsid w:val="009B6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3C50"/>
    <w:pPr>
      <w:tabs>
        <w:tab w:val="center" w:pos="4680"/>
        <w:tab w:val="right" w:pos="9360"/>
      </w:tabs>
    </w:pPr>
  </w:style>
  <w:style w:type="character" w:customStyle="1" w:styleId="HeaderChar">
    <w:name w:val="Header Char"/>
    <w:basedOn w:val="DefaultParagraphFont"/>
    <w:link w:val="Header"/>
    <w:uiPriority w:val="99"/>
    <w:rsid w:val="00E23C50"/>
  </w:style>
  <w:style w:type="paragraph" w:styleId="Footer">
    <w:name w:val="footer"/>
    <w:basedOn w:val="Normal"/>
    <w:link w:val="FooterChar"/>
    <w:uiPriority w:val="99"/>
    <w:unhideWhenUsed/>
    <w:rsid w:val="00E23C50"/>
    <w:pPr>
      <w:tabs>
        <w:tab w:val="center" w:pos="4680"/>
        <w:tab w:val="right" w:pos="9360"/>
      </w:tabs>
    </w:pPr>
  </w:style>
  <w:style w:type="character" w:customStyle="1" w:styleId="FooterChar">
    <w:name w:val="Footer Char"/>
    <w:basedOn w:val="DefaultParagraphFont"/>
    <w:link w:val="Footer"/>
    <w:uiPriority w:val="99"/>
    <w:rsid w:val="00E23C50"/>
  </w:style>
  <w:style w:type="paragraph" w:styleId="BalloonText">
    <w:name w:val="Balloon Text"/>
    <w:basedOn w:val="Normal"/>
    <w:link w:val="BalloonTextChar"/>
    <w:uiPriority w:val="99"/>
    <w:semiHidden/>
    <w:unhideWhenUsed/>
    <w:rsid w:val="00092A43"/>
    <w:rPr>
      <w:rFonts w:ascii="Tahoma" w:hAnsi="Tahoma" w:cs="Tahoma"/>
      <w:sz w:val="16"/>
      <w:szCs w:val="16"/>
    </w:rPr>
  </w:style>
  <w:style w:type="character" w:customStyle="1" w:styleId="BalloonTextChar">
    <w:name w:val="Balloon Text Char"/>
    <w:basedOn w:val="DefaultParagraphFont"/>
    <w:link w:val="BalloonText"/>
    <w:uiPriority w:val="99"/>
    <w:semiHidden/>
    <w:rsid w:val="00092A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C8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E38"/>
    <w:pPr>
      <w:ind w:left="720"/>
      <w:contextualSpacing/>
    </w:pPr>
  </w:style>
  <w:style w:type="table" w:styleId="TableGrid">
    <w:name w:val="Table Grid"/>
    <w:basedOn w:val="TableNormal"/>
    <w:uiPriority w:val="59"/>
    <w:rsid w:val="009B6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3C50"/>
    <w:pPr>
      <w:tabs>
        <w:tab w:val="center" w:pos="4680"/>
        <w:tab w:val="right" w:pos="9360"/>
      </w:tabs>
    </w:pPr>
  </w:style>
  <w:style w:type="character" w:customStyle="1" w:styleId="HeaderChar">
    <w:name w:val="Header Char"/>
    <w:basedOn w:val="DefaultParagraphFont"/>
    <w:link w:val="Header"/>
    <w:uiPriority w:val="99"/>
    <w:rsid w:val="00E23C50"/>
  </w:style>
  <w:style w:type="paragraph" w:styleId="Footer">
    <w:name w:val="footer"/>
    <w:basedOn w:val="Normal"/>
    <w:link w:val="FooterChar"/>
    <w:uiPriority w:val="99"/>
    <w:unhideWhenUsed/>
    <w:rsid w:val="00E23C50"/>
    <w:pPr>
      <w:tabs>
        <w:tab w:val="center" w:pos="4680"/>
        <w:tab w:val="right" w:pos="9360"/>
      </w:tabs>
    </w:pPr>
  </w:style>
  <w:style w:type="character" w:customStyle="1" w:styleId="FooterChar">
    <w:name w:val="Footer Char"/>
    <w:basedOn w:val="DefaultParagraphFont"/>
    <w:link w:val="Footer"/>
    <w:uiPriority w:val="99"/>
    <w:rsid w:val="00E23C50"/>
  </w:style>
  <w:style w:type="paragraph" w:styleId="BalloonText">
    <w:name w:val="Balloon Text"/>
    <w:basedOn w:val="Normal"/>
    <w:link w:val="BalloonTextChar"/>
    <w:uiPriority w:val="99"/>
    <w:semiHidden/>
    <w:unhideWhenUsed/>
    <w:rsid w:val="00092A43"/>
    <w:rPr>
      <w:rFonts w:ascii="Tahoma" w:hAnsi="Tahoma" w:cs="Tahoma"/>
      <w:sz w:val="16"/>
      <w:szCs w:val="16"/>
    </w:rPr>
  </w:style>
  <w:style w:type="character" w:customStyle="1" w:styleId="BalloonTextChar">
    <w:name w:val="Balloon Text Char"/>
    <w:basedOn w:val="DefaultParagraphFont"/>
    <w:link w:val="BalloonText"/>
    <w:uiPriority w:val="99"/>
    <w:semiHidden/>
    <w:rsid w:val="00092A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Minnesota Management &amp; Budget</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PILT Report Synopsis Draft 7.24.12</dc:title>
  <dc:creator>Judy Grew</dc:creator>
  <cp:lastModifiedBy>mndnr</cp:lastModifiedBy>
  <cp:revision>2</cp:revision>
  <cp:lastPrinted>2012-05-15T17:00:00Z</cp:lastPrinted>
  <dcterms:created xsi:type="dcterms:W3CDTF">2012-08-03T20:54:00Z</dcterms:created>
  <dcterms:modified xsi:type="dcterms:W3CDTF">2012-08-03T20:54:00Z</dcterms:modified>
</cp:coreProperties>
</file>