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DC" w:rsidRPr="009170DC" w:rsidRDefault="009170DC" w:rsidP="006208F7">
      <w:pPr>
        <w:pBdr>
          <w:top w:val="single" w:sz="18" w:space="4" w:color="auto"/>
          <w:left w:val="single" w:sz="18" w:space="12" w:color="auto"/>
          <w:bottom w:val="single" w:sz="18" w:space="4" w:color="auto"/>
          <w:right w:val="single" w:sz="18" w:space="4" w:color="auto"/>
        </w:pBdr>
        <w:spacing w:after="0" w:line="240" w:lineRule="auto"/>
        <w:ind w:left="360" w:right="180"/>
        <w:rPr>
          <w:rFonts w:cstheme="minorHAnsi"/>
          <w:sz w:val="12"/>
          <w:szCs w:val="12"/>
        </w:rPr>
      </w:pPr>
    </w:p>
    <w:p w:rsidR="009170DC" w:rsidRPr="007323B9" w:rsidRDefault="009170DC" w:rsidP="006208F7">
      <w:pPr>
        <w:pBdr>
          <w:top w:val="single" w:sz="18" w:space="4" w:color="auto"/>
          <w:left w:val="single" w:sz="18" w:space="12" w:color="auto"/>
          <w:bottom w:val="single" w:sz="18" w:space="4" w:color="auto"/>
          <w:right w:val="single" w:sz="18" w:space="4" w:color="auto"/>
        </w:pBdr>
        <w:spacing w:after="0" w:line="240" w:lineRule="auto"/>
        <w:ind w:left="360" w:right="180"/>
        <w:rPr>
          <w:rFonts w:cstheme="minorHAnsi"/>
        </w:rPr>
      </w:pPr>
      <w:r w:rsidRPr="007323B9">
        <w:rPr>
          <w:rFonts w:cstheme="minorHAnsi"/>
        </w:rPr>
        <w:t>Approved by:</w:t>
      </w:r>
    </w:p>
    <w:p w:rsidR="009170DC" w:rsidRPr="007323B9" w:rsidRDefault="009170DC" w:rsidP="006208F7">
      <w:pPr>
        <w:pBdr>
          <w:top w:val="single" w:sz="18" w:space="4" w:color="auto"/>
          <w:left w:val="single" w:sz="18" w:space="12" w:color="auto"/>
          <w:bottom w:val="single" w:sz="18" w:space="4" w:color="auto"/>
          <w:right w:val="single" w:sz="18" w:space="4" w:color="auto"/>
        </w:pBdr>
        <w:spacing w:after="0" w:line="240" w:lineRule="auto"/>
        <w:ind w:left="360" w:right="180"/>
        <w:rPr>
          <w:rFonts w:cstheme="minorHAnsi"/>
        </w:rPr>
      </w:pPr>
    </w:p>
    <w:p w:rsidR="009170DC" w:rsidRDefault="00CC6833" w:rsidP="006208F7">
      <w:pPr>
        <w:pBdr>
          <w:top w:val="single" w:sz="18" w:space="4" w:color="auto"/>
          <w:left w:val="single" w:sz="18" w:space="12" w:color="auto"/>
          <w:bottom w:val="single" w:sz="18" w:space="4" w:color="auto"/>
          <w:right w:val="single" w:sz="18" w:space="4" w:color="auto"/>
        </w:pBdr>
        <w:tabs>
          <w:tab w:val="left" w:pos="5760"/>
        </w:tabs>
        <w:spacing w:after="0" w:line="240" w:lineRule="auto"/>
        <w:ind w:left="360" w:right="180"/>
        <w:rPr>
          <w:rFonts w:cstheme="minorHAnsi"/>
        </w:rPr>
      </w:pPr>
      <w:r>
        <w:rPr>
          <w:rFonts w:cstheme="minorHAnsi"/>
        </w:rPr>
        <w:t xml:space="preserve">/s/ </w:t>
      </w:r>
      <w:r w:rsidR="009170DC" w:rsidRPr="007323B9">
        <w:rPr>
          <w:rFonts w:cstheme="minorHAnsi"/>
        </w:rPr>
        <w:t>Tom Landwehr, Commissioner</w:t>
      </w:r>
      <w:r w:rsidR="0045554F">
        <w:rPr>
          <w:rFonts w:cstheme="minorHAnsi"/>
        </w:rPr>
        <w:tab/>
      </w:r>
      <w:r w:rsidR="0045554F" w:rsidRPr="007323B9">
        <w:rPr>
          <w:rFonts w:cstheme="minorHAnsi"/>
        </w:rPr>
        <w:t xml:space="preserve">Date: </w:t>
      </w:r>
      <w:r>
        <w:rPr>
          <w:rFonts w:cstheme="minorHAnsi"/>
        </w:rPr>
        <w:t xml:space="preserve"> June 4, 2012</w:t>
      </w:r>
    </w:p>
    <w:p w:rsidR="009170DC" w:rsidRPr="007323B9" w:rsidRDefault="009170DC" w:rsidP="006208F7">
      <w:pPr>
        <w:pBdr>
          <w:top w:val="single" w:sz="18" w:space="4" w:color="auto"/>
          <w:left w:val="single" w:sz="18" w:space="12" w:color="auto"/>
          <w:bottom w:val="single" w:sz="18" w:space="4" w:color="auto"/>
          <w:right w:val="single" w:sz="18" w:space="4" w:color="auto"/>
        </w:pBdr>
        <w:spacing w:after="0" w:line="240" w:lineRule="auto"/>
        <w:ind w:left="360" w:right="180"/>
        <w:rPr>
          <w:rFonts w:cstheme="minorHAnsi"/>
        </w:rPr>
      </w:pPr>
      <w:r>
        <w:rPr>
          <w:rFonts w:cstheme="minorHAnsi"/>
        </w:rPr>
        <w:t>Minnesota Department of Natural Resources</w:t>
      </w:r>
    </w:p>
    <w:p w:rsidR="009170DC" w:rsidRPr="009170DC" w:rsidRDefault="009170DC" w:rsidP="006208F7">
      <w:pPr>
        <w:pBdr>
          <w:top w:val="single" w:sz="18" w:space="4" w:color="auto"/>
          <w:left w:val="single" w:sz="18" w:space="12" w:color="auto"/>
          <w:bottom w:val="single" w:sz="18" w:space="4" w:color="auto"/>
          <w:right w:val="single" w:sz="18" w:space="4" w:color="auto"/>
        </w:pBdr>
        <w:spacing w:after="0" w:line="240" w:lineRule="auto"/>
        <w:ind w:left="360" w:right="180"/>
        <w:rPr>
          <w:rFonts w:cstheme="minorHAnsi"/>
          <w:sz w:val="12"/>
          <w:szCs w:val="12"/>
        </w:rPr>
      </w:pPr>
    </w:p>
    <w:p w:rsidR="009170DC" w:rsidRDefault="009170DC" w:rsidP="009170DC">
      <w:pPr>
        <w:spacing w:after="0" w:line="240" w:lineRule="auto"/>
        <w:rPr>
          <w:rFonts w:cstheme="minorHAnsi"/>
          <w:bCs/>
          <w:sz w:val="24"/>
        </w:rPr>
      </w:pPr>
    </w:p>
    <w:p w:rsidR="001579BF" w:rsidRPr="000070E3" w:rsidRDefault="00346960" w:rsidP="000070E3">
      <w:pPr>
        <w:tabs>
          <w:tab w:val="right" w:pos="9360"/>
        </w:tabs>
        <w:spacing w:after="0" w:line="240" w:lineRule="auto"/>
        <w:rPr>
          <w:rFonts w:cstheme="minorHAnsi"/>
          <w:bCs/>
          <w:sz w:val="24"/>
          <w:szCs w:val="24"/>
        </w:rPr>
      </w:pPr>
      <w:r w:rsidRPr="000070E3">
        <w:rPr>
          <w:rFonts w:cstheme="minorHAnsi"/>
          <w:bCs/>
          <w:noProof/>
          <w:sz w:val="24"/>
          <w:szCs w:val="24"/>
        </w:rPr>
        <w:drawing>
          <wp:inline distT="0" distB="0" distL="0" distR="0">
            <wp:extent cx="542925" cy="723900"/>
            <wp:effectExtent l="0" t="0" r="9525" b="0"/>
            <wp:docPr id="5" name="Picture 5" descr="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r_bw_2012.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2925" cy="723900"/>
                    </a:xfrm>
                    <a:prstGeom prst="rect">
                      <a:avLst/>
                    </a:prstGeom>
                  </pic:spPr>
                </pic:pic>
              </a:graphicData>
            </a:graphic>
          </wp:inline>
        </w:drawing>
      </w:r>
    </w:p>
    <w:p w:rsidR="00A445E4" w:rsidRPr="00346960" w:rsidRDefault="00A445E4" w:rsidP="00A445E4">
      <w:pPr>
        <w:tabs>
          <w:tab w:val="left" w:pos="1080"/>
          <w:tab w:val="right" w:pos="10080"/>
        </w:tabs>
        <w:spacing w:before="120" w:after="0" w:line="240" w:lineRule="auto"/>
        <w:rPr>
          <w:rFonts w:ascii="Verdana" w:hAnsi="Verdana" w:cstheme="minorHAnsi"/>
          <w:b/>
          <w:bCs/>
          <w:sz w:val="20"/>
          <w:szCs w:val="20"/>
        </w:rPr>
      </w:pPr>
      <w:r w:rsidRPr="00346960">
        <w:rPr>
          <w:rFonts w:ascii="Verdana" w:hAnsi="Verdana" w:cstheme="minorHAnsi"/>
          <w:b/>
          <w:bCs/>
          <w:sz w:val="20"/>
          <w:szCs w:val="20"/>
        </w:rPr>
        <w:t>Minnesota Department of Natural Resources</w:t>
      </w:r>
    </w:p>
    <w:p w:rsidR="00A445E4" w:rsidRPr="00D13B48" w:rsidRDefault="00A445E4" w:rsidP="00A445E4">
      <w:pPr>
        <w:pStyle w:val="Heading1"/>
        <w:rPr>
          <w:rFonts w:ascii="Verdana" w:hAnsi="Verdana" w:cstheme="minorHAnsi"/>
          <w:color w:val="auto"/>
        </w:rPr>
      </w:pPr>
      <w:r>
        <w:rPr>
          <w:rFonts w:ascii="Verdana" w:hAnsi="Verdana"/>
          <w:color w:val="auto"/>
        </w:rPr>
        <w:t>Shared Services Governance Framework</w:t>
      </w:r>
    </w:p>
    <w:p w:rsidR="00A445E4" w:rsidRPr="007323B9" w:rsidRDefault="00A445E4" w:rsidP="00A445E4">
      <w:pPr>
        <w:spacing w:after="0" w:line="240" w:lineRule="auto"/>
        <w:rPr>
          <w:rFonts w:cstheme="minorHAnsi"/>
        </w:rPr>
      </w:pPr>
    </w:p>
    <w:p w:rsidR="00955F9E" w:rsidRPr="00D8595E" w:rsidRDefault="00955F9E" w:rsidP="00B40AF7">
      <w:pPr>
        <w:shd w:val="clear" w:color="auto" w:fill="EAF1DD" w:themeFill="accent3" w:themeFillTint="33"/>
        <w:tabs>
          <w:tab w:val="left" w:leader="dot" w:pos="2448"/>
        </w:tabs>
        <w:spacing w:after="0" w:line="240" w:lineRule="auto"/>
        <w:rPr>
          <w:rFonts w:cstheme="minorHAnsi"/>
          <w:b/>
        </w:rPr>
      </w:pPr>
      <w:r w:rsidRPr="00FF05E2">
        <w:rPr>
          <w:rFonts w:cstheme="minorHAnsi"/>
          <w:b/>
        </w:rPr>
        <w:t xml:space="preserve">Operational </w:t>
      </w:r>
      <w:r w:rsidR="00A34812">
        <w:rPr>
          <w:rFonts w:cstheme="minorHAnsi"/>
          <w:b/>
        </w:rPr>
        <w:t>Order</w:t>
      </w:r>
      <w:r w:rsidRPr="00FF05E2">
        <w:rPr>
          <w:rFonts w:cstheme="minorHAnsi"/>
          <w:b/>
        </w:rPr>
        <w:tab/>
      </w:r>
      <w:r w:rsidR="007074B1">
        <w:rPr>
          <w:b/>
        </w:rPr>
        <w:t>122</w:t>
      </w:r>
    </w:p>
    <w:p w:rsidR="00955F9E" w:rsidRPr="00FF05E2" w:rsidRDefault="00955F9E" w:rsidP="00B40AF7">
      <w:pPr>
        <w:shd w:val="clear" w:color="auto" w:fill="EAF1DD" w:themeFill="accent3" w:themeFillTint="33"/>
        <w:tabs>
          <w:tab w:val="left" w:leader="dot" w:pos="2448"/>
        </w:tabs>
        <w:spacing w:after="0" w:line="240" w:lineRule="auto"/>
        <w:rPr>
          <w:rFonts w:cstheme="minorHAnsi"/>
        </w:rPr>
      </w:pPr>
      <w:r w:rsidRPr="00FF05E2">
        <w:rPr>
          <w:rFonts w:cstheme="minorHAnsi"/>
          <w:b/>
        </w:rPr>
        <w:t>Policy Owner</w:t>
      </w:r>
      <w:r w:rsidRPr="00FF05E2">
        <w:rPr>
          <w:rFonts w:cstheme="minorHAnsi"/>
          <w:b/>
        </w:rPr>
        <w:tab/>
      </w:r>
      <w:r w:rsidR="007074B1">
        <w:t>Marcia Honold, Planning Director, Operations Services Division</w:t>
      </w:r>
    </w:p>
    <w:p w:rsidR="00955F9E" w:rsidRPr="00FF05E2" w:rsidRDefault="00955F9E" w:rsidP="00B40AF7">
      <w:pPr>
        <w:shd w:val="clear" w:color="auto" w:fill="EAF1DD" w:themeFill="accent3" w:themeFillTint="33"/>
        <w:tabs>
          <w:tab w:val="left" w:leader="dot" w:pos="2448"/>
        </w:tabs>
        <w:spacing w:after="0" w:line="240" w:lineRule="auto"/>
        <w:rPr>
          <w:rFonts w:cstheme="minorHAnsi"/>
        </w:rPr>
      </w:pPr>
      <w:r w:rsidRPr="00FF05E2">
        <w:rPr>
          <w:rFonts w:cstheme="minorHAnsi"/>
          <w:b/>
        </w:rPr>
        <w:t>Related Policies</w:t>
      </w:r>
      <w:r w:rsidRPr="00FF05E2">
        <w:rPr>
          <w:rFonts w:cstheme="minorHAnsi"/>
          <w:b/>
        </w:rPr>
        <w:tab/>
      </w:r>
    </w:p>
    <w:p w:rsidR="00955F9E" w:rsidRPr="00FF05E2" w:rsidRDefault="00955F9E" w:rsidP="00B40AF7">
      <w:pPr>
        <w:shd w:val="clear" w:color="auto" w:fill="EAF1DD" w:themeFill="accent3" w:themeFillTint="33"/>
        <w:tabs>
          <w:tab w:val="left" w:leader="dot" w:pos="2448"/>
        </w:tabs>
        <w:spacing w:after="0" w:line="240" w:lineRule="auto"/>
        <w:rPr>
          <w:rFonts w:cstheme="minorHAnsi"/>
        </w:rPr>
      </w:pPr>
      <w:r w:rsidRPr="00FF05E2">
        <w:rPr>
          <w:rFonts w:cstheme="minorHAnsi"/>
          <w:b/>
        </w:rPr>
        <w:t>Related Procedures</w:t>
      </w:r>
      <w:r w:rsidRPr="00FF05E2">
        <w:rPr>
          <w:rFonts w:cstheme="minorHAnsi"/>
          <w:b/>
        </w:rPr>
        <w:tab/>
      </w:r>
      <w:r w:rsidR="007074B1">
        <w:t>Shared Services Governance Board Procedures</w:t>
      </w:r>
    </w:p>
    <w:p w:rsidR="00955F9E" w:rsidRPr="00072559" w:rsidRDefault="00955F9E" w:rsidP="00B40AF7">
      <w:pPr>
        <w:shd w:val="clear" w:color="auto" w:fill="EAF1DD" w:themeFill="accent3" w:themeFillTint="33"/>
        <w:tabs>
          <w:tab w:val="left" w:leader="dot" w:pos="2448"/>
        </w:tabs>
        <w:spacing w:after="0" w:line="240" w:lineRule="auto"/>
        <w:rPr>
          <w:rFonts w:cstheme="minorHAnsi"/>
          <w:b/>
        </w:rPr>
      </w:pPr>
      <w:r w:rsidRPr="00FF05E2">
        <w:rPr>
          <w:rFonts w:cstheme="minorHAnsi"/>
          <w:b/>
        </w:rPr>
        <w:t>Effective Date</w:t>
      </w:r>
      <w:r w:rsidRPr="00FF05E2">
        <w:rPr>
          <w:rFonts w:cstheme="minorHAnsi"/>
          <w:b/>
        </w:rPr>
        <w:tab/>
      </w:r>
      <w:r w:rsidR="00640DEF">
        <w:rPr>
          <w:rFonts w:cstheme="minorHAnsi"/>
          <w:b/>
        </w:rPr>
        <w:t>June 4</w:t>
      </w:r>
      <w:bookmarkStart w:id="0" w:name="_GoBack"/>
      <w:bookmarkEnd w:id="0"/>
      <w:r w:rsidR="009A00C4">
        <w:rPr>
          <w:rFonts w:cstheme="minorHAnsi"/>
          <w:b/>
        </w:rPr>
        <w:t>, 2012</w:t>
      </w:r>
    </w:p>
    <w:p w:rsidR="00955F9E" w:rsidRPr="00FF05E2" w:rsidRDefault="00955F9E" w:rsidP="00B40AF7">
      <w:pPr>
        <w:shd w:val="clear" w:color="auto" w:fill="EAF1DD" w:themeFill="accent3" w:themeFillTint="33"/>
        <w:tabs>
          <w:tab w:val="left" w:leader="dot" w:pos="2448"/>
        </w:tabs>
        <w:spacing w:after="0" w:line="240" w:lineRule="auto"/>
        <w:rPr>
          <w:rFonts w:cstheme="minorHAnsi"/>
        </w:rPr>
      </w:pPr>
      <w:proofErr w:type="gramStart"/>
      <w:r>
        <w:rPr>
          <w:rFonts w:cstheme="minorHAnsi"/>
          <w:b/>
        </w:rPr>
        <w:t>Last Update</w:t>
      </w:r>
      <w:r w:rsidRPr="00FF05E2">
        <w:rPr>
          <w:rFonts w:cstheme="minorHAnsi"/>
          <w:b/>
        </w:rPr>
        <w:tab/>
      </w:r>
      <w:r w:rsidR="007074B1">
        <w:t>N.A.</w:t>
      </w:r>
      <w:proofErr w:type="gramEnd"/>
    </w:p>
    <w:p w:rsidR="00955F9E" w:rsidRPr="00FF05E2" w:rsidRDefault="00955F9E" w:rsidP="00B40AF7">
      <w:pPr>
        <w:shd w:val="clear" w:color="auto" w:fill="EAF1DD" w:themeFill="accent3" w:themeFillTint="33"/>
        <w:tabs>
          <w:tab w:val="left" w:leader="dot" w:pos="2448"/>
        </w:tabs>
        <w:spacing w:after="0" w:line="240" w:lineRule="auto"/>
        <w:rPr>
          <w:rFonts w:cstheme="minorHAnsi"/>
        </w:rPr>
      </w:pPr>
      <w:r w:rsidRPr="00FF05E2">
        <w:rPr>
          <w:rFonts w:cstheme="minorHAnsi"/>
          <w:b/>
        </w:rPr>
        <w:t>Next Review Date</w:t>
      </w:r>
      <w:r w:rsidRPr="00FF05E2">
        <w:rPr>
          <w:rFonts w:cstheme="minorHAnsi"/>
          <w:b/>
        </w:rPr>
        <w:tab/>
      </w:r>
      <w:r w:rsidR="007074B1">
        <w:rPr>
          <w:rFonts w:cstheme="minorHAnsi"/>
        </w:rPr>
        <w:t>2016</w:t>
      </w:r>
    </w:p>
    <w:p w:rsidR="00B825F0" w:rsidRPr="00B40AF7" w:rsidRDefault="00B825F0" w:rsidP="006E7D96">
      <w:pPr>
        <w:pStyle w:val="Heading1"/>
        <w:spacing w:after="240"/>
        <w:rPr>
          <w:rFonts w:ascii="Verdana" w:hAnsi="Verdana"/>
          <w:color w:val="auto"/>
          <w:sz w:val="24"/>
          <w:szCs w:val="24"/>
        </w:rPr>
      </w:pPr>
      <w:r w:rsidRPr="00B40AF7">
        <w:rPr>
          <w:rFonts w:ascii="Verdana" w:hAnsi="Verdana"/>
          <w:color w:val="auto"/>
          <w:sz w:val="24"/>
          <w:szCs w:val="24"/>
        </w:rPr>
        <w:t>Policy Statement</w:t>
      </w:r>
    </w:p>
    <w:p w:rsidR="00A34812" w:rsidRPr="00770830" w:rsidRDefault="007074B1" w:rsidP="00B825F0">
      <w:pPr>
        <w:spacing w:after="0" w:line="240" w:lineRule="auto"/>
        <w:rPr>
          <w:rFonts w:cstheme="minorHAnsi"/>
        </w:rPr>
      </w:pPr>
      <w:r w:rsidRPr="00770830">
        <w:rPr>
          <w:rFonts w:cstheme="minorHAnsi"/>
        </w:rPr>
        <w:t xml:space="preserve">DNR’s Shared Services operate within a governance framework to deliver </w:t>
      </w:r>
      <w:r w:rsidR="007A5A9B" w:rsidRPr="00770830">
        <w:rPr>
          <w:rFonts w:cstheme="minorHAnsi"/>
        </w:rPr>
        <w:t>services that</w:t>
      </w:r>
      <w:r w:rsidRPr="00770830">
        <w:rPr>
          <w:rFonts w:cstheme="minorHAnsi"/>
        </w:rPr>
        <w:t xml:space="preserve"> are responsive, efficient, and meet departmental business needs.</w:t>
      </w:r>
    </w:p>
    <w:p w:rsidR="001A18E7" w:rsidRPr="00B40AF7" w:rsidRDefault="00B825F0" w:rsidP="006E7D96">
      <w:pPr>
        <w:pStyle w:val="Heading1"/>
        <w:spacing w:after="240"/>
        <w:rPr>
          <w:rFonts w:ascii="Verdana" w:hAnsi="Verdana"/>
          <w:color w:val="auto"/>
          <w:sz w:val="24"/>
          <w:szCs w:val="24"/>
        </w:rPr>
      </w:pPr>
      <w:r w:rsidRPr="00B40AF7">
        <w:rPr>
          <w:rFonts w:ascii="Verdana" w:hAnsi="Verdana"/>
          <w:color w:val="auto"/>
          <w:sz w:val="24"/>
          <w:szCs w:val="24"/>
        </w:rPr>
        <w:t>Purpose and Scope</w:t>
      </w:r>
    </w:p>
    <w:p w:rsidR="007074B1" w:rsidRPr="007074B1" w:rsidRDefault="007074B1" w:rsidP="007074B1">
      <w:pPr>
        <w:spacing w:after="0" w:line="240" w:lineRule="auto"/>
        <w:rPr>
          <w:rFonts w:cstheme="minorHAnsi"/>
        </w:rPr>
      </w:pPr>
      <w:r w:rsidRPr="007074B1">
        <w:rPr>
          <w:rFonts w:cstheme="minorHAnsi"/>
        </w:rPr>
        <w:t xml:space="preserve">The purpose of the Shared Services Governance Framework Operational Order is to describe the framework used to deliver DNR centralized business functions, commonly referred to as shared services. </w:t>
      </w:r>
    </w:p>
    <w:p w:rsidR="007074B1" w:rsidRPr="007074B1" w:rsidRDefault="007074B1" w:rsidP="007074B1">
      <w:pPr>
        <w:spacing w:after="0" w:line="240" w:lineRule="auto"/>
        <w:rPr>
          <w:rFonts w:cstheme="minorHAnsi"/>
        </w:rPr>
      </w:pPr>
    </w:p>
    <w:p w:rsidR="007074B1" w:rsidRPr="007074B1" w:rsidRDefault="007074B1" w:rsidP="007074B1">
      <w:pPr>
        <w:spacing w:after="0" w:line="240" w:lineRule="auto"/>
        <w:rPr>
          <w:rFonts w:cstheme="minorHAnsi"/>
        </w:rPr>
      </w:pPr>
      <w:r w:rsidRPr="007074B1">
        <w:rPr>
          <w:rFonts w:cstheme="minorHAnsi"/>
        </w:rPr>
        <w:t>The governance framework establishes the roles and responsibilities for the Shared Services Governance Board, advisory groups, the staff liaison, service providers, and senior managers.  The framework for shared services provides the structure required for financial management and business operations, decision-making authorities, service delivery, reporting and evaluation of services, and in</w:t>
      </w:r>
      <w:r w:rsidR="00EB2018">
        <w:rPr>
          <w:rFonts w:cstheme="minorHAnsi"/>
        </w:rPr>
        <w:t xml:space="preserve">ternal controls. </w:t>
      </w:r>
    </w:p>
    <w:p w:rsidR="009A630A" w:rsidRDefault="009A630A" w:rsidP="007074B1">
      <w:pPr>
        <w:pStyle w:val="Heading1"/>
        <w:spacing w:after="240"/>
        <w:rPr>
          <w:rFonts w:ascii="Verdana" w:hAnsi="Verdana"/>
          <w:color w:val="auto"/>
          <w:sz w:val="24"/>
          <w:szCs w:val="24"/>
        </w:rPr>
      </w:pPr>
      <w:r w:rsidRPr="00B40AF7">
        <w:rPr>
          <w:rFonts w:ascii="Verdana" w:hAnsi="Verdana"/>
          <w:color w:val="auto"/>
          <w:sz w:val="24"/>
          <w:szCs w:val="24"/>
        </w:rPr>
        <w:t>Procedure</w:t>
      </w:r>
      <w:r w:rsidR="006408AA" w:rsidRPr="00B40AF7">
        <w:rPr>
          <w:rFonts w:ascii="Verdana" w:hAnsi="Verdana"/>
          <w:color w:val="auto"/>
          <w:sz w:val="24"/>
          <w:szCs w:val="24"/>
        </w:rPr>
        <w:t>s</w:t>
      </w:r>
    </w:p>
    <w:p w:rsidR="007074B1" w:rsidRPr="007074B1" w:rsidRDefault="007074B1" w:rsidP="007074B1">
      <w:pPr>
        <w:spacing w:after="0" w:line="240" w:lineRule="auto"/>
        <w:rPr>
          <w:rFonts w:cstheme="minorHAnsi"/>
        </w:rPr>
      </w:pPr>
      <w:r w:rsidRPr="007074B1">
        <w:rPr>
          <w:rFonts w:cstheme="minorHAnsi"/>
        </w:rPr>
        <w:t>The Commissioner is responsible for Shared Services Governance and assigns the Service Providers with the responsibility to provide services at a specific level in the Service Level Agreement.  The Commissioner assigns Division Directors with the responsibility to comply with the responsibilities detailed in the SLA.  The Board makes recommendations to the Commissioner about changes or amendments to SLAs.  The Commissioner may approve, deny, or amend any recommendation from the Board.</w:t>
      </w:r>
      <w:r w:rsidR="00EB2018">
        <w:rPr>
          <w:rFonts w:cstheme="minorHAnsi"/>
        </w:rPr>
        <w:t xml:space="preserve"> </w:t>
      </w:r>
    </w:p>
    <w:p w:rsidR="007074B1" w:rsidRPr="007074B1" w:rsidRDefault="007074B1" w:rsidP="007074B1">
      <w:pPr>
        <w:spacing w:after="0" w:line="240" w:lineRule="auto"/>
        <w:rPr>
          <w:rFonts w:cstheme="minorHAnsi"/>
        </w:rPr>
      </w:pPr>
    </w:p>
    <w:p w:rsidR="007074B1" w:rsidRPr="007074B1" w:rsidRDefault="007A5A9B" w:rsidP="007074B1">
      <w:pPr>
        <w:spacing w:after="0" w:line="240" w:lineRule="auto"/>
        <w:rPr>
          <w:rFonts w:cstheme="minorHAnsi"/>
        </w:rPr>
      </w:pPr>
      <w:r w:rsidRPr="007074B1">
        <w:rPr>
          <w:rFonts w:cstheme="minorHAnsi"/>
        </w:rPr>
        <w:lastRenderedPageBreak/>
        <w:t>The Commissioner can make new initiatives, reductions in shared services, or SLA amendments any time</w:t>
      </w:r>
      <w:r w:rsidR="007074B1" w:rsidRPr="007074B1">
        <w:rPr>
          <w:rFonts w:cstheme="minorHAnsi"/>
        </w:rPr>
        <w:t>.  The Board, the Senior Management Team, the Service Provider, or the Advisory Group Chairs may initiate requests for changes to SLAs according to timeframes and processes established by the Board.</w:t>
      </w:r>
      <w:r w:rsidR="00EB2018">
        <w:rPr>
          <w:rFonts w:cstheme="minorHAnsi"/>
        </w:rPr>
        <w:t xml:space="preserve"> </w:t>
      </w:r>
    </w:p>
    <w:p w:rsidR="009A3E03" w:rsidRPr="009A3E03" w:rsidRDefault="009A3E03" w:rsidP="009A3E03">
      <w:pPr>
        <w:keepNext/>
        <w:keepLines/>
        <w:spacing w:before="200" w:after="0"/>
        <w:outlineLvl w:val="1"/>
        <w:rPr>
          <w:rFonts w:eastAsiaTheme="majorEastAsia" w:cstheme="minorHAnsi"/>
          <w:b/>
          <w:bCs/>
          <w:caps/>
          <w:sz w:val="24"/>
          <w:szCs w:val="24"/>
        </w:rPr>
      </w:pPr>
      <w:r>
        <w:rPr>
          <w:rFonts w:eastAsiaTheme="majorEastAsia" w:cstheme="minorHAnsi"/>
          <w:b/>
          <w:bCs/>
          <w:caps/>
          <w:sz w:val="24"/>
          <w:szCs w:val="24"/>
        </w:rPr>
        <w:t>Reporting and Evaluation</w:t>
      </w:r>
    </w:p>
    <w:p w:rsidR="007074B1" w:rsidRDefault="007A5A9B" w:rsidP="007074B1">
      <w:pPr>
        <w:spacing w:after="0" w:line="240" w:lineRule="auto"/>
        <w:rPr>
          <w:rStyle w:val="Strong"/>
        </w:rPr>
      </w:pPr>
      <w:r w:rsidRPr="006D5D7A">
        <w:rPr>
          <w:rFonts w:cstheme="minorHAnsi"/>
        </w:rPr>
        <w:t>Reporting and evaluation of the services provided are an important principle of the governance framework and can facil</w:t>
      </w:r>
      <w:r>
        <w:rPr>
          <w:rFonts w:cstheme="minorHAnsi"/>
        </w:rPr>
        <w:t xml:space="preserve">itate continuous improvement.  </w:t>
      </w:r>
      <w:r w:rsidRPr="006D5D7A">
        <w:rPr>
          <w:rFonts w:cstheme="minorHAnsi"/>
        </w:rPr>
        <w:t>Service providers prepare and submit biennial reports to the Shared Services Board for each</w:t>
      </w:r>
      <w:r>
        <w:rPr>
          <w:rFonts w:cstheme="minorHAnsi"/>
        </w:rPr>
        <w:t xml:space="preserve"> service provided by December of odd-numbered years.  </w:t>
      </w:r>
      <w:r w:rsidRPr="006D5D7A">
        <w:rPr>
          <w:rFonts w:cstheme="minorHAnsi"/>
        </w:rPr>
        <w:t>Reports include a summary of the services and products provided, a financial summary of revenues and expenditures, and an analysis of the changing business needs of the organization rele</w:t>
      </w:r>
      <w:r>
        <w:rPr>
          <w:rFonts w:cstheme="minorHAnsi"/>
        </w:rPr>
        <w:t xml:space="preserve">vant to the services provided. </w:t>
      </w:r>
    </w:p>
    <w:p w:rsidR="009A3E03" w:rsidRPr="009A3E03" w:rsidRDefault="009A3E03" w:rsidP="009A3E03">
      <w:pPr>
        <w:keepNext/>
        <w:keepLines/>
        <w:spacing w:before="200" w:after="0"/>
        <w:outlineLvl w:val="1"/>
        <w:rPr>
          <w:rFonts w:eastAsiaTheme="majorEastAsia" w:cstheme="minorHAnsi"/>
          <w:b/>
          <w:bCs/>
          <w:caps/>
          <w:sz w:val="24"/>
          <w:szCs w:val="24"/>
        </w:rPr>
      </w:pPr>
      <w:r>
        <w:rPr>
          <w:rFonts w:eastAsiaTheme="majorEastAsia" w:cstheme="minorHAnsi"/>
          <w:b/>
          <w:bCs/>
          <w:caps/>
          <w:sz w:val="24"/>
          <w:szCs w:val="24"/>
        </w:rPr>
        <w:t>Audit Plan</w:t>
      </w:r>
    </w:p>
    <w:p w:rsidR="007074B1" w:rsidRPr="007074B1" w:rsidRDefault="007074B1" w:rsidP="00770830">
      <w:pPr>
        <w:spacing w:after="0" w:line="240" w:lineRule="auto"/>
      </w:pPr>
      <w:r w:rsidRPr="006D5D7A">
        <w:rPr>
          <w:rFonts w:cstheme="minorHAnsi"/>
        </w:rPr>
        <w:t>The Shared Services Board works with the internal auditor to develop a biennial audit plan for shared services for the Commissioner.</w:t>
      </w:r>
    </w:p>
    <w:p w:rsidR="00231A4B" w:rsidRPr="00B40AF7" w:rsidRDefault="00231A4B" w:rsidP="006E7D96">
      <w:pPr>
        <w:pStyle w:val="Heading1"/>
        <w:spacing w:after="240"/>
        <w:rPr>
          <w:rFonts w:ascii="Verdana" w:hAnsi="Verdana"/>
          <w:color w:val="auto"/>
          <w:sz w:val="24"/>
          <w:szCs w:val="24"/>
        </w:rPr>
      </w:pPr>
      <w:r w:rsidRPr="00B40AF7">
        <w:rPr>
          <w:rFonts w:ascii="Verdana" w:hAnsi="Verdana"/>
          <w:color w:val="auto"/>
          <w:sz w:val="24"/>
          <w:szCs w:val="24"/>
        </w:rPr>
        <w:t>Roles and Responsibilities</w:t>
      </w:r>
    </w:p>
    <w:p w:rsidR="007074B1" w:rsidRDefault="007074B1" w:rsidP="007074B1">
      <w:pPr>
        <w:spacing w:after="0" w:line="240" w:lineRule="auto"/>
        <w:rPr>
          <w:rFonts w:cstheme="minorHAnsi"/>
        </w:rPr>
      </w:pPr>
      <w:r w:rsidRPr="006D5D7A">
        <w:rPr>
          <w:rFonts w:cstheme="minorHAnsi"/>
        </w:rPr>
        <w:t>Shared services governance is the responsibility of the Commissioner, who provides overall executive direction.  The Commissioner assigns oversight of shared services to the Shared Services Governance Board, which oversees the business operations for Shared Services.  The Commissioner makes the final decision on Board recommendations and approves shared services costs, resources, and service levels.</w:t>
      </w:r>
    </w:p>
    <w:p w:rsidR="007074B1" w:rsidRPr="00985829" w:rsidRDefault="007074B1" w:rsidP="007074B1">
      <w:pPr>
        <w:keepNext/>
        <w:spacing w:before="120" w:after="0" w:line="240" w:lineRule="auto"/>
        <w:rPr>
          <w:caps/>
          <w:sz w:val="24"/>
          <w:szCs w:val="24"/>
        </w:rPr>
      </w:pPr>
      <w:r>
        <w:rPr>
          <w:b/>
          <w:caps/>
          <w:sz w:val="24"/>
          <w:szCs w:val="24"/>
        </w:rPr>
        <w:t>Shared Services Governance board</w:t>
      </w:r>
    </w:p>
    <w:p w:rsidR="007074B1" w:rsidRPr="00770830" w:rsidRDefault="007A5A9B" w:rsidP="007A5A9B">
      <w:pPr>
        <w:spacing w:after="0" w:line="240" w:lineRule="auto"/>
        <w:rPr>
          <w:rFonts w:cstheme="minorHAnsi"/>
        </w:rPr>
      </w:pPr>
      <w:r w:rsidRPr="00770830">
        <w:rPr>
          <w:rFonts w:cstheme="minorHAnsi"/>
        </w:rPr>
        <w:t xml:space="preserve">The Commissioner assigns oversight of shared services to the Shared Services Governance Board, </w:t>
      </w:r>
      <w:r>
        <w:rPr>
          <w:rFonts w:cstheme="minorHAnsi"/>
        </w:rPr>
        <w:t>including</w:t>
      </w:r>
      <w:r w:rsidRPr="00770830">
        <w:rPr>
          <w:rFonts w:cstheme="minorHAnsi"/>
        </w:rPr>
        <w:t xml:space="preserve"> the Deputy Commissioner (Board Chair) and five Senior Managers: </w:t>
      </w:r>
    </w:p>
    <w:p w:rsidR="007074B1" w:rsidRPr="00770830" w:rsidRDefault="00F779DC" w:rsidP="007074B1">
      <w:pPr>
        <w:numPr>
          <w:ilvl w:val="0"/>
          <w:numId w:val="29"/>
        </w:numPr>
        <w:spacing w:after="0" w:line="240" w:lineRule="auto"/>
        <w:rPr>
          <w:rFonts w:cstheme="minorHAnsi"/>
        </w:rPr>
      </w:pPr>
      <w:r>
        <w:rPr>
          <w:rFonts w:cstheme="minorHAnsi"/>
        </w:rPr>
        <w:t>Deputy Commissioner</w:t>
      </w:r>
      <w:r w:rsidR="007074B1" w:rsidRPr="00770830">
        <w:rPr>
          <w:rFonts w:cstheme="minorHAnsi"/>
        </w:rPr>
        <w:t xml:space="preserve"> (one position – serves as Chair of the Board)</w:t>
      </w:r>
    </w:p>
    <w:p w:rsidR="007074B1" w:rsidRPr="00770830" w:rsidRDefault="007074B1" w:rsidP="007074B1">
      <w:pPr>
        <w:numPr>
          <w:ilvl w:val="0"/>
          <w:numId w:val="29"/>
        </w:numPr>
        <w:spacing w:after="0" w:line="240" w:lineRule="auto"/>
        <w:rPr>
          <w:rFonts w:cstheme="minorHAnsi"/>
        </w:rPr>
      </w:pPr>
      <w:r w:rsidRPr="00770830">
        <w:rPr>
          <w:rFonts w:cstheme="minorHAnsi"/>
        </w:rPr>
        <w:t>Division Directors (two positions)</w:t>
      </w:r>
    </w:p>
    <w:p w:rsidR="007074B1" w:rsidRPr="00770830" w:rsidRDefault="007074B1" w:rsidP="007074B1">
      <w:pPr>
        <w:numPr>
          <w:ilvl w:val="0"/>
          <w:numId w:val="29"/>
        </w:numPr>
        <w:spacing w:after="0" w:line="240" w:lineRule="auto"/>
        <w:rPr>
          <w:rFonts w:cstheme="minorHAnsi"/>
        </w:rPr>
      </w:pPr>
      <w:r w:rsidRPr="00770830">
        <w:rPr>
          <w:rFonts w:cstheme="minorHAnsi"/>
        </w:rPr>
        <w:t>Regional Director (one position)</w:t>
      </w:r>
    </w:p>
    <w:p w:rsidR="007074B1" w:rsidRPr="00770830" w:rsidRDefault="007074B1" w:rsidP="007074B1">
      <w:pPr>
        <w:numPr>
          <w:ilvl w:val="0"/>
          <w:numId w:val="29"/>
        </w:numPr>
        <w:spacing w:after="0" w:line="240" w:lineRule="auto"/>
        <w:rPr>
          <w:rFonts w:cstheme="minorHAnsi"/>
        </w:rPr>
      </w:pPr>
      <w:r w:rsidRPr="00770830">
        <w:rPr>
          <w:rFonts w:cstheme="minorHAnsi"/>
        </w:rPr>
        <w:t>Section Administrator (one position)</w:t>
      </w:r>
    </w:p>
    <w:p w:rsidR="007074B1" w:rsidRPr="00770830" w:rsidRDefault="007074B1" w:rsidP="007074B1">
      <w:pPr>
        <w:numPr>
          <w:ilvl w:val="0"/>
          <w:numId w:val="29"/>
        </w:numPr>
        <w:spacing w:after="0" w:line="240" w:lineRule="auto"/>
        <w:rPr>
          <w:rFonts w:cstheme="minorHAnsi"/>
        </w:rPr>
      </w:pPr>
      <w:r w:rsidRPr="00770830">
        <w:rPr>
          <w:rFonts w:cstheme="minorHAnsi"/>
        </w:rPr>
        <w:t>Director of Operations Services/Ex-Officio member (one position – non-voting)</w:t>
      </w:r>
    </w:p>
    <w:p w:rsidR="007074B1" w:rsidRPr="00770830" w:rsidRDefault="007074B1" w:rsidP="007074B1">
      <w:pPr>
        <w:spacing w:after="0" w:line="240" w:lineRule="auto"/>
        <w:rPr>
          <w:rFonts w:cstheme="minorHAnsi"/>
        </w:rPr>
      </w:pPr>
    </w:p>
    <w:p w:rsidR="00093C01" w:rsidRDefault="007074B1" w:rsidP="007074B1">
      <w:pPr>
        <w:spacing w:after="0" w:line="240" w:lineRule="auto"/>
        <w:rPr>
          <w:rFonts w:cstheme="minorHAnsi"/>
        </w:rPr>
      </w:pPr>
      <w:r w:rsidRPr="00770830">
        <w:rPr>
          <w:rFonts w:cstheme="minorHAnsi"/>
        </w:rPr>
        <w:t xml:space="preserve">Members are appointed by the Commissioner to staggered terms, except for the Chair and Ex-Officio member, who serve until a replacement is named.  Through the Advisory Groups, the Board evaluates performance measures, including the level, </w:t>
      </w:r>
      <w:r w:rsidR="007A5A9B" w:rsidRPr="00770830">
        <w:rPr>
          <w:rFonts w:cstheme="minorHAnsi"/>
        </w:rPr>
        <w:t>quality,</w:t>
      </w:r>
      <w:r w:rsidRPr="00770830">
        <w:rPr>
          <w:rFonts w:cstheme="minorHAnsi"/>
        </w:rPr>
        <w:t xml:space="preserve"> and cost of the service provided.  The Board also evaluates how well the services support the conservation work of the department.</w:t>
      </w:r>
    </w:p>
    <w:p w:rsidR="00093C01" w:rsidRDefault="00093C01" w:rsidP="007074B1">
      <w:pPr>
        <w:spacing w:after="0" w:line="240" w:lineRule="auto"/>
        <w:rPr>
          <w:rFonts w:cstheme="minorHAnsi"/>
        </w:rPr>
      </w:pPr>
    </w:p>
    <w:p w:rsidR="007074B1" w:rsidRPr="00770830" w:rsidRDefault="007074B1" w:rsidP="007074B1">
      <w:pPr>
        <w:spacing w:after="0" w:line="240" w:lineRule="auto"/>
        <w:rPr>
          <w:rFonts w:cstheme="minorHAnsi"/>
        </w:rPr>
      </w:pPr>
      <w:r w:rsidRPr="00770830">
        <w:rPr>
          <w:rFonts w:cstheme="minorHAnsi"/>
        </w:rPr>
        <w:t>The Board’s responsibilities are to:</w:t>
      </w:r>
    </w:p>
    <w:p w:rsidR="007074B1" w:rsidRPr="00770830" w:rsidRDefault="007074B1" w:rsidP="007074B1">
      <w:pPr>
        <w:numPr>
          <w:ilvl w:val="0"/>
          <w:numId w:val="30"/>
        </w:numPr>
        <w:spacing w:after="0" w:line="240" w:lineRule="auto"/>
        <w:rPr>
          <w:rFonts w:cstheme="minorHAnsi"/>
        </w:rPr>
      </w:pPr>
      <w:r w:rsidRPr="00770830">
        <w:rPr>
          <w:rFonts w:cstheme="minorHAnsi"/>
        </w:rPr>
        <w:t>Guide decisions regarding the scope, quality and cost of shared services</w:t>
      </w:r>
    </w:p>
    <w:p w:rsidR="007074B1" w:rsidRPr="00770830" w:rsidRDefault="007074B1" w:rsidP="007074B1">
      <w:pPr>
        <w:numPr>
          <w:ilvl w:val="0"/>
          <w:numId w:val="30"/>
        </w:numPr>
        <w:spacing w:after="0" w:line="240" w:lineRule="auto"/>
        <w:rPr>
          <w:rFonts w:cstheme="minorHAnsi"/>
        </w:rPr>
      </w:pPr>
      <w:r w:rsidRPr="00770830">
        <w:rPr>
          <w:rFonts w:cstheme="minorHAnsi"/>
        </w:rPr>
        <w:t>Identify strategic issues and set direction within the boundaries established by the Commissioner</w:t>
      </w:r>
    </w:p>
    <w:p w:rsidR="007074B1" w:rsidRPr="00770830" w:rsidRDefault="007074B1" w:rsidP="007074B1">
      <w:pPr>
        <w:numPr>
          <w:ilvl w:val="0"/>
          <w:numId w:val="30"/>
        </w:numPr>
        <w:spacing w:after="0" w:line="240" w:lineRule="auto"/>
        <w:rPr>
          <w:rFonts w:cstheme="minorHAnsi"/>
        </w:rPr>
      </w:pPr>
      <w:r w:rsidRPr="00770830">
        <w:rPr>
          <w:rFonts w:cstheme="minorHAnsi"/>
        </w:rPr>
        <w:t>Provide direction and oversight to the advisory groups</w:t>
      </w:r>
    </w:p>
    <w:p w:rsidR="007074B1" w:rsidRPr="00770830" w:rsidRDefault="007074B1" w:rsidP="007074B1">
      <w:pPr>
        <w:numPr>
          <w:ilvl w:val="0"/>
          <w:numId w:val="30"/>
        </w:numPr>
        <w:spacing w:after="0" w:line="240" w:lineRule="auto"/>
        <w:rPr>
          <w:rFonts w:cstheme="minorHAnsi"/>
        </w:rPr>
      </w:pPr>
      <w:r w:rsidRPr="00770830">
        <w:rPr>
          <w:rFonts w:cstheme="minorHAnsi"/>
        </w:rPr>
        <w:t>Evaluate performance against established performance measures</w:t>
      </w:r>
    </w:p>
    <w:p w:rsidR="007074B1" w:rsidRPr="00770830" w:rsidRDefault="007074B1" w:rsidP="007074B1">
      <w:pPr>
        <w:numPr>
          <w:ilvl w:val="0"/>
          <w:numId w:val="30"/>
        </w:numPr>
        <w:spacing w:after="0" w:line="240" w:lineRule="auto"/>
        <w:rPr>
          <w:rFonts w:cstheme="minorHAnsi"/>
        </w:rPr>
      </w:pPr>
      <w:r w:rsidRPr="00770830">
        <w:rPr>
          <w:rFonts w:cstheme="minorHAnsi"/>
        </w:rPr>
        <w:t>Ensure that each Service Providers’ Service Level Agreements are evaluated regularly</w:t>
      </w:r>
    </w:p>
    <w:p w:rsidR="007074B1" w:rsidRPr="00770830" w:rsidRDefault="007074B1" w:rsidP="007074B1">
      <w:pPr>
        <w:numPr>
          <w:ilvl w:val="0"/>
          <w:numId w:val="30"/>
        </w:numPr>
        <w:spacing w:after="0" w:line="240" w:lineRule="auto"/>
        <w:rPr>
          <w:rFonts w:cstheme="minorHAnsi"/>
        </w:rPr>
      </w:pPr>
      <w:r w:rsidRPr="00770830">
        <w:rPr>
          <w:rFonts w:cstheme="minorHAnsi"/>
        </w:rPr>
        <w:t>Make recommendations to the Commissioner about service levels and the costs and resources required to provide such services</w:t>
      </w:r>
    </w:p>
    <w:p w:rsidR="007074B1" w:rsidRPr="00770830" w:rsidRDefault="007074B1" w:rsidP="007074B1">
      <w:pPr>
        <w:numPr>
          <w:ilvl w:val="0"/>
          <w:numId w:val="30"/>
        </w:numPr>
        <w:spacing w:after="0" w:line="240" w:lineRule="auto"/>
        <w:rPr>
          <w:rFonts w:cstheme="minorHAnsi"/>
        </w:rPr>
      </w:pPr>
      <w:r w:rsidRPr="00770830">
        <w:rPr>
          <w:rFonts w:cstheme="minorHAnsi"/>
        </w:rPr>
        <w:t>Represent department-wide interests</w:t>
      </w:r>
    </w:p>
    <w:p w:rsidR="007074B1" w:rsidRPr="00770830" w:rsidRDefault="007074B1" w:rsidP="007074B1">
      <w:pPr>
        <w:numPr>
          <w:ilvl w:val="0"/>
          <w:numId w:val="30"/>
        </w:numPr>
        <w:spacing w:after="0" w:line="240" w:lineRule="auto"/>
        <w:rPr>
          <w:rFonts w:cstheme="minorHAnsi"/>
        </w:rPr>
      </w:pPr>
      <w:r w:rsidRPr="00770830">
        <w:rPr>
          <w:rFonts w:cstheme="minorHAnsi"/>
        </w:rPr>
        <w:t>Consult regularly with senior managers</w:t>
      </w:r>
    </w:p>
    <w:p w:rsidR="007074B1" w:rsidRPr="00770830" w:rsidRDefault="007074B1" w:rsidP="007074B1">
      <w:pPr>
        <w:numPr>
          <w:ilvl w:val="0"/>
          <w:numId w:val="30"/>
        </w:numPr>
        <w:spacing w:after="0" w:line="240" w:lineRule="auto"/>
        <w:rPr>
          <w:rFonts w:cstheme="minorHAnsi"/>
          <w:i/>
        </w:rPr>
      </w:pPr>
      <w:r w:rsidRPr="00770830">
        <w:rPr>
          <w:rFonts w:cstheme="minorHAnsi"/>
        </w:rPr>
        <w:t xml:space="preserve">Create advisory groups and committees to assist the Board with their work </w:t>
      </w:r>
    </w:p>
    <w:p w:rsidR="007074B1" w:rsidRPr="00770830" w:rsidRDefault="00FD7802" w:rsidP="007074B1">
      <w:pPr>
        <w:numPr>
          <w:ilvl w:val="0"/>
          <w:numId w:val="30"/>
        </w:numPr>
        <w:spacing w:after="0" w:line="240" w:lineRule="auto"/>
        <w:rPr>
          <w:rFonts w:cstheme="minorHAnsi"/>
          <w:b/>
        </w:rPr>
      </w:pPr>
      <w:r>
        <w:rPr>
          <w:rFonts w:cstheme="minorHAnsi"/>
        </w:rPr>
        <w:t>Determine business operations</w:t>
      </w:r>
    </w:p>
    <w:p w:rsidR="007074B1" w:rsidRPr="00770830" w:rsidRDefault="007074B1" w:rsidP="007074B1">
      <w:pPr>
        <w:numPr>
          <w:ilvl w:val="0"/>
          <w:numId w:val="30"/>
        </w:numPr>
        <w:spacing w:after="0" w:line="240" w:lineRule="auto"/>
        <w:rPr>
          <w:rFonts w:cstheme="minorHAnsi"/>
          <w:b/>
        </w:rPr>
      </w:pPr>
      <w:r w:rsidRPr="00770830">
        <w:rPr>
          <w:rFonts w:cstheme="minorHAnsi"/>
        </w:rPr>
        <w:t>Create operating pol</w:t>
      </w:r>
      <w:r w:rsidR="00FD7802">
        <w:rPr>
          <w:rFonts w:cstheme="minorHAnsi"/>
        </w:rPr>
        <w:t>icies and procedures as needed</w:t>
      </w:r>
    </w:p>
    <w:p w:rsidR="007074B1" w:rsidRPr="00985829" w:rsidRDefault="007074B1" w:rsidP="007074B1">
      <w:pPr>
        <w:keepNext/>
        <w:spacing w:before="120" w:after="0" w:line="240" w:lineRule="auto"/>
        <w:rPr>
          <w:caps/>
          <w:sz w:val="24"/>
          <w:szCs w:val="24"/>
        </w:rPr>
      </w:pPr>
      <w:r>
        <w:rPr>
          <w:b/>
          <w:caps/>
          <w:sz w:val="24"/>
          <w:szCs w:val="24"/>
        </w:rPr>
        <w:lastRenderedPageBreak/>
        <w:t>Advisory Groups</w:t>
      </w:r>
    </w:p>
    <w:p w:rsidR="007074B1" w:rsidRDefault="007074B1" w:rsidP="007074B1">
      <w:pPr>
        <w:spacing w:after="0" w:line="240" w:lineRule="auto"/>
        <w:rPr>
          <w:rFonts w:cstheme="minorHAnsi"/>
        </w:rPr>
      </w:pPr>
      <w:r w:rsidRPr="00770830">
        <w:rPr>
          <w:rFonts w:cstheme="minorHAnsi"/>
        </w:rPr>
        <w:t xml:space="preserve">The Advisory Groups serve as advisors to the Board and are convened at the request of the Board.  </w:t>
      </w:r>
      <w:r w:rsidR="007A5A9B" w:rsidRPr="00770830">
        <w:rPr>
          <w:rFonts w:cstheme="minorHAnsi"/>
        </w:rPr>
        <w:t>The Board appoints members and the chairs for each advisory group</w:t>
      </w:r>
      <w:r w:rsidRPr="00770830">
        <w:rPr>
          <w:rFonts w:cstheme="minorHAnsi"/>
        </w:rPr>
        <w:t xml:space="preserve"> for staggered terms.  Groups include Workforce Management, Finance and Management Services, Information Services, and Asset Management.</w:t>
      </w:r>
      <w:r w:rsidR="00EB2018" w:rsidRPr="00770830">
        <w:rPr>
          <w:rFonts w:cstheme="minorHAnsi"/>
        </w:rPr>
        <w:t xml:space="preserve"> </w:t>
      </w:r>
      <w:r w:rsidR="009172F1">
        <w:rPr>
          <w:rFonts w:cstheme="minorHAnsi"/>
        </w:rPr>
        <w:t xml:space="preserve"> </w:t>
      </w:r>
      <w:r w:rsidRPr="00770830">
        <w:rPr>
          <w:rFonts w:cstheme="minorHAnsi"/>
        </w:rPr>
        <w:t>The Advisory Groups’ responsibilities are to:</w:t>
      </w:r>
    </w:p>
    <w:p w:rsidR="007074B1" w:rsidRPr="00770830" w:rsidRDefault="007074B1" w:rsidP="007074B1">
      <w:pPr>
        <w:numPr>
          <w:ilvl w:val="0"/>
          <w:numId w:val="31"/>
        </w:numPr>
        <w:spacing w:after="0" w:line="240" w:lineRule="auto"/>
        <w:rPr>
          <w:rFonts w:cstheme="minorHAnsi"/>
        </w:rPr>
      </w:pPr>
      <w:r w:rsidRPr="00770830">
        <w:rPr>
          <w:rFonts w:cstheme="minorHAnsi"/>
        </w:rPr>
        <w:t>Review and recommend Service Level Agreements for consideration by the Board including; the level of service to be provided, cost allocation, standards and performance measures and the roles and responsibilities of the provider and customers</w:t>
      </w:r>
    </w:p>
    <w:p w:rsidR="007074B1" w:rsidRPr="00770830" w:rsidRDefault="007074B1" w:rsidP="007074B1">
      <w:pPr>
        <w:numPr>
          <w:ilvl w:val="0"/>
          <w:numId w:val="31"/>
        </w:numPr>
        <w:spacing w:after="0" w:line="240" w:lineRule="auto"/>
        <w:rPr>
          <w:rFonts w:cstheme="minorHAnsi"/>
        </w:rPr>
      </w:pPr>
      <w:r w:rsidRPr="00770830">
        <w:rPr>
          <w:rFonts w:cstheme="minorHAnsi"/>
        </w:rPr>
        <w:t>Provide guidance on policies, processes, standards and procedures</w:t>
      </w:r>
    </w:p>
    <w:p w:rsidR="007074B1" w:rsidRPr="00770830" w:rsidRDefault="007074B1" w:rsidP="007074B1">
      <w:pPr>
        <w:numPr>
          <w:ilvl w:val="0"/>
          <w:numId w:val="31"/>
        </w:numPr>
        <w:spacing w:after="0" w:line="240" w:lineRule="auto"/>
        <w:rPr>
          <w:rFonts w:cstheme="minorHAnsi"/>
        </w:rPr>
      </w:pPr>
      <w:r w:rsidRPr="00770830">
        <w:rPr>
          <w:rFonts w:cstheme="minorHAnsi"/>
        </w:rPr>
        <w:t>Review biennial reports and evaluate services delivered and performance against business needs of the agency</w:t>
      </w:r>
    </w:p>
    <w:p w:rsidR="007074B1" w:rsidRPr="00770830" w:rsidRDefault="007074B1" w:rsidP="007074B1">
      <w:pPr>
        <w:numPr>
          <w:ilvl w:val="0"/>
          <w:numId w:val="31"/>
        </w:numPr>
        <w:spacing w:after="0" w:line="240" w:lineRule="auto"/>
        <w:rPr>
          <w:rFonts w:cstheme="minorHAnsi"/>
        </w:rPr>
      </w:pPr>
      <w:r w:rsidRPr="00770830">
        <w:rPr>
          <w:rFonts w:cstheme="minorHAnsi"/>
        </w:rPr>
        <w:t>Assess and recommend new initiatives (increases and decreases in the level of service)</w:t>
      </w:r>
    </w:p>
    <w:p w:rsidR="006D3552" w:rsidRPr="00770830" w:rsidRDefault="007074B1" w:rsidP="007074B1">
      <w:pPr>
        <w:pStyle w:val="ListParagraph"/>
        <w:numPr>
          <w:ilvl w:val="0"/>
          <w:numId w:val="31"/>
        </w:numPr>
        <w:spacing w:after="0" w:line="240" w:lineRule="auto"/>
        <w:rPr>
          <w:rFonts w:cstheme="minorHAnsi"/>
        </w:rPr>
      </w:pPr>
      <w:r w:rsidRPr="00770830">
        <w:rPr>
          <w:rFonts w:cstheme="minorHAnsi"/>
        </w:rPr>
        <w:t>Represent department wide interests</w:t>
      </w:r>
    </w:p>
    <w:p w:rsidR="007074B1" w:rsidRPr="00985829" w:rsidRDefault="007074B1" w:rsidP="007074B1">
      <w:pPr>
        <w:keepNext/>
        <w:spacing w:before="120" w:after="0" w:line="240" w:lineRule="auto"/>
        <w:rPr>
          <w:caps/>
          <w:sz w:val="24"/>
          <w:szCs w:val="24"/>
        </w:rPr>
      </w:pPr>
      <w:r>
        <w:rPr>
          <w:b/>
          <w:caps/>
          <w:sz w:val="24"/>
          <w:szCs w:val="24"/>
        </w:rPr>
        <w:t>Staff Liaison</w:t>
      </w:r>
    </w:p>
    <w:p w:rsidR="007074B1" w:rsidRPr="00770830" w:rsidRDefault="007074B1" w:rsidP="007074B1">
      <w:pPr>
        <w:spacing w:after="0" w:line="240" w:lineRule="auto"/>
        <w:rPr>
          <w:rFonts w:cstheme="minorHAnsi"/>
        </w:rPr>
      </w:pPr>
      <w:r w:rsidRPr="00770830">
        <w:rPr>
          <w:rFonts w:cstheme="minorHAnsi"/>
        </w:rPr>
        <w:t>The staff liaison position provides professional staff services to the board, the advisory groups, and the service providers.  The role of the staff liaison is to:</w:t>
      </w:r>
    </w:p>
    <w:p w:rsidR="007074B1" w:rsidRPr="00770830" w:rsidRDefault="007074B1" w:rsidP="007074B1">
      <w:pPr>
        <w:numPr>
          <w:ilvl w:val="0"/>
          <w:numId w:val="32"/>
        </w:numPr>
        <w:spacing w:after="0" w:line="240" w:lineRule="auto"/>
        <w:rPr>
          <w:rFonts w:cstheme="minorHAnsi"/>
        </w:rPr>
      </w:pPr>
      <w:r w:rsidRPr="00770830">
        <w:rPr>
          <w:rFonts w:cstheme="minorHAnsi"/>
        </w:rPr>
        <w:t>Work closely with the Board, advisory groups, section administrators, and other stakeholders to ensure implementation of the shared services system and guide a coordinated work effort</w:t>
      </w:r>
    </w:p>
    <w:p w:rsidR="007074B1" w:rsidRPr="00770830" w:rsidRDefault="007074B1" w:rsidP="007074B1">
      <w:pPr>
        <w:numPr>
          <w:ilvl w:val="0"/>
          <w:numId w:val="32"/>
        </w:numPr>
        <w:spacing w:after="0" w:line="240" w:lineRule="auto"/>
        <w:rPr>
          <w:rFonts w:cstheme="minorHAnsi"/>
        </w:rPr>
      </w:pPr>
      <w:r w:rsidRPr="00770830">
        <w:rPr>
          <w:rFonts w:cstheme="minorHAnsi"/>
        </w:rPr>
        <w:t>Manage the process for producing SLAs</w:t>
      </w:r>
    </w:p>
    <w:p w:rsidR="007074B1" w:rsidRPr="00770830" w:rsidRDefault="007074B1" w:rsidP="007074B1">
      <w:pPr>
        <w:numPr>
          <w:ilvl w:val="0"/>
          <w:numId w:val="32"/>
        </w:numPr>
        <w:spacing w:after="0" w:line="240" w:lineRule="auto"/>
        <w:rPr>
          <w:rFonts w:cstheme="minorHAnsi"/>
        </w:rPr>
      </w:pPr>
      <w:r w:rsidRPr="00770830">
        <w:rPr>
          <w:rFonts w:cstheme="minorHAnsi"/>
        </w:rPr>
        <w:t>Support the Board in the evaluation of shared services</w:t>
      </w:r>
    </w:p>
    <w:p w:rsidR="007074B1" w:rsidRPr="00770830" w:rsidRDefault="007074B1" w:rsidP="007074B1">
      <w:pPr>
        <w:numPr>
          <w:ilvl w:val="0"/>
          <w:numId w:val="32"/>
        </w:numPr>
        <w:spacing w:after="0" w:line="240" w:lineRule="auto"/>
        <w:rPr>
          <w:rFonts w:cstheme="minorHAnsi"/>
        </w:rPr>
      </w:pPr>
      <w:r w:rsidRPr="00770830">
        <w:rPr>
          <w:rFonts w:cstheme="minorHAnsi"/>
        </w:rPr>
        <w:t>Promote effective communications about shared services within the department</w:t>
      </w:r>
    </w:p>
    <w:p w:rsidR="007074B1" w:rsidRPr="00770830" w:rsidRDefault="007074B1" w:rsidP="007074B1">
      <w:pPr>
        <w:numPr>
          <w:ilvl w:val="0"/>
          <w:numId w:val="32"/>
        </w:numPr>
        <w:spacing w:after="0" w:line="240" w:lineRule="auto"/>
        <w:rPr>
          <w:rFonts w:cstheme="minorHAnsi"/>
        </w:rPr>
      </w:pPr>
      <w:r w:rsidRPr="00770830">
        <w:rPr>
          <w:rFonts w:cstheme="minorHAnsi"/>
        </w:rPr>
        <w:t>Provide staffing support to the Board meetings and ensure that the work of the Board is supported through agenda setting, preparation of Board packets and meeting minutes, and maintaining official records</w:t>
      </w:r>
    </w:p>
    <w:p w:rsidR="007074B1" w:rsidRPr="00770830" w:rsidRDefault="007074B1" w:rsidP="007074B1">
      <w:pPr>
        <w:numPr>
          <w:ilvl w:val="0"/>
          <w:numId w:val="32"/>
        </w:numPr>
        <w:spacing w:after="0" w:line="240" w:lineRule="auto"/>
        <w:rPr>
          <w:rFonts w:cstheme="minorHAnsi"/>
        </w:rPr>
      </w:pPr>
      <w:r w:rsidRPr="00770830">
        <w:rPr>
          <w:rFonts w:cstheme="minorHAnsi"/>
        </w:rPr>
        <w:t>Assure that internal billing, revenue collection, and reporting are consistent with approved SLAs</w:t>
      </w:r>
    </w:p>
    <w:p w:rsidR="007074B1" w:rsidRPr="00985829" w:rsidRDefault="007074B1" w:rsidP="007074B1">
      <w:pPr>
        <w:keepNext/>
        <w:spacing w:before="120" w:after="0" w:line="240" w:lineRule="auto"/>
        <w:rPr>
          <w:caps/>
          <w:sz w:val="24"/>
          <w:szCs w:val="24"/>
        </w:rPr>
      </w:pPr>
      <w:r>
        <w:rPr>
          <w:b/>
          <w:caps/>
          <w:sz w:val="24"/>
          <w:szCs w:val="24"/>
        </w:rPr>
        <w:t>Service Providers</w:t>
      </w:r>
    </w:p>
    <w:p w:rsidR="007074B1" w:rsidRPr="00770830" w:rsidRDefault="007A5A9B" w:rsidP="007074B1">
      <w:pPr>
        <w:spacing w:after="0" w:line="240" w:lineRule="auto"/>
        <w:rPr>
          <w:rFonts w:cstheme="minorHAnsi"/>
        </w:rPr>
      </w:pPr>
      <w:r>
        <w:rPr>
          <w:rFonts w:cstheme="minorHAnsi"/>
        </w:rPr>
        <w:t>T</w:t>
      </w:r>
      <w:r w:rsidR="007074B1" w:rsidRPr="00770830">
        <w:rPr>
          <w:rFonts w:cstheme="minorHAnsi"/>
        </w:rPr>
        <w:t>he Division of Operations Services is the sole provider of shared services and is responsible for the design and delivery of centralized business services described in the SLAs.  In the future, other divisions within the agency may be identified as shared services providers.</w:t>
      </w:r>
      <w:r w:rsidR="009172F1">
        <w:rPr>
          <w:rFonts w:cstheme="minorHAnsi"/>
        </w:rPr>
        <w:t xml:space="preserve">  </w:t>
      </w:r>
      <w:r w:rsidR="007074B1" w:rsidRPr="00770830">
        <w:rPr>
          <w:rFonts w:cstheme="minorHAnsi"/>
        </w:rPr>
        <w:t>The Service Providers’ responsibilities are to:</w:t>
      </w:r>
    </w:p>
    <w:p w:rsidR="007074B1" w:rsidRPr="00770830" w:rsidRDefault="007074B1" w:rsidP="007074B1">
      <w:pPr>
        <w:numPr>
          <w:ilvl w:val="0"/>
          <w:numId w:val="33"/>
        </w:numPr>
        <w:spacing w:after="0" w:line="240" w:lineRule="auto"/>
        <w:rPr>
          <w:rFonts w:cstheme="minorHAnsi"/>
        </w:rPr>
      </w:pPr>
      <w:r w:rsidRPr="00770830">
        <w:rPr>
          <w:rFonts w:cstheme="minorHAnsi"/>
        </w:rPr>
        <w:t>Seek regular input from customers</w:t>
      </w:r>
    </w:p>
    <w:p w:rsidR="007074B1" w:rsidRPr="00770830" w:rsidRDefault="007074B1" w:rsidP="007074B1">
      <w:pPr>
        <w:numPr>
          <w:ilvl w:val="0"/>
          <w:numId w:val="33"/>
        </w:numPr>
        <w:spacing w:after="0" w:line="240" w:lineRule="auto"/>
        <w:rPr>
          <w:rFonts w:cstheme="minorHAnsi"/>
        </w:rPr>
      </w:pPr>
      <w:r w:rsidRPr="00770830">
        <w:rPr>
          <w:rFonts w:cstheme="minorHAnsi"/>
        </w:rPr>
        <w:t>Understand and respond to the business needs of the agency</w:t>
      </w:r>
    </w:p>
    <w:p w:rsidR="007074B1" w:rsidRPr="00770830" w:rsidRDefault="007074B1" w:rsidP="007074B1">
      <w:pPr>
        <w:numPr>
          <w:ilvl w:val="0"/>
          <w:numId w:val="33"/>
        </w:numPr>
        <w:spacing w:after="0" w:line="240" w:lineRule="auto"/>
        <w:rPr>
          <w:rFonts w:cstheme="minorHAnsi"/>
        </w:rPr>
      </w:pPr>
      <w:r w:rsidRPr="00770830">
        <w:rPr>
          <w:rFonts w:cstheme="minorHAnsi"/>
        </w:rPr>
        <w:t>Prepare Service Level Agreements for review by the Advisory Groups and consideration by the Board</w:t>
      </w:r>
    </w:p>
    <w:p w:rsidR="007074B1" w:rsidRPr="00770830" w:rsidRDefault="007074B1" w:rsidP="007074B1">
      <w:pPr>
        <w:numPr>
          <w:ilvl w:val="0"/>
          <w:numId w:val="33"/>
        </w:numPr>
        <w:spacing w:after="0" w:line="240" w:lineRule="auto"/>
        <w:rPr>
          <w:rFonts w:cstheme="minorHAnsi"/>
        </w:rPr>
      </w:pPr>
      <w:r w:rsidRPr="00770830">
        <w:rPr>
          <w:rFonts w:cstheme="minorHAnsi"/>
        </w:rPr>
        <w:t>Efficiently and effectively provide services as defined in the Service Level Agreements</w:t>
      </w:r>
    </w:p>
    <w:p w:rsidR="007074B1" w:rsidRPr="00770830" w:rsidRDefault="007074B1" w:rsidP="007074B1">
      <w:pPr>
        <w:numPr>
          <w:ilvl w:val="0"/>
          <w:numId w:val="33"/>
        </w:numPr>
        <w:spacing w:after="0" w:line="240" w:lineRule="auto"/>
        <w:rPr>
          <w:rFonts w:cstheme="minorHAnsi"/>
        </w:rPr>
      </w:pPr>
      <w:r w:rsidRPr="00770830">
        <w:rPr>
          <w:rFonts w:cstheme="minorHAnsi"/>
        </w:rPr>
        <w:t>Manage programs and services consistent with policies, rules and laws</w:t>
      </w:r>
    </w:p>
    <w:p w:rsidR="007074B1" w:rsidRPr="00770830" w:rsidRDefault="007074B1" w:rsidP="007074B1">
      <w:pPr>
        <w:numPr>
          <w:ilvl w:val="0"/>
          <w:numId w:val="33"/>
        </w:numPr>
        <w:spacing w:after="0" w:line="240" w:lineRule="auto"/>
        <w:rPr>
          <w:rFonts w:cstheme="minorHAnsi"/>
        </w:rPr>
      </w:pPr>
      <w:r w:rsidRPr="00770830">
        <w:rPr>
          <w:rFonts w:cstheme="minorHAnsi"/>
        </w:rPr>
        <w:t>Prepare biennial reports</w:t>
      </w:r>
    </w:p>
    <w:p w:rsidR="007074B1" w:rsidRPr="00770830" w:rsidRDefault="007074B1" w:rsidP="007074B1">
      <w:pPr>
        <w:numPr>
          <w:ilvl w:val="0"/>
          <w:numId w:val="33"/>
        </w:numPr>
        <w:spacing w:after="0" w:line="240" w:lineRule="auto"/>
        <w:rPr>
          <w:rFonts w:cstheme="minorHAnsi"/>
        </w:rPr>
      </w:pPr>
      <w:r w:rsidRPr="00770830">
        <w:rPr>
          <w:rFonts w:cstheme="minorHAnsi"/>
        </w:rPr>
        <w:t>Seek opportunities to continuously improve the quality, quantity and cost of services provided</w:t>
      </w:r>
    </w:p>
    <w:p w:rsidR="007074B1" w:rsidRPr="00770830" w:rsidRDefault="007074B1" w:rsidP="007074B1">
      <w:pPr>
        <w:numPr>
          <w:ilvl w:val="0"/>
          <w:numId w:val="33"/>
        </w:numPr>
        <w:spacing w:after="0" w:line="240" w:lineRule="auto"/>
        <w:rPr>
          <w:rFonts w:cstheme="minorHAnsi"/>
        </w:rPr>
      </w:pPr>
      <w:r w:rsidRPr="00770830">
        <w:rPr>
          <w:rFonts w:cstheme="minorHAnsi"/>
        </w:rPr>
        <w:t>Design effective and efficient policies and procedures with customer input</w:t>
      </w:r>
    </w:p>
    <w:p w:rsidR="007074B1" w:rsidRPr="00985829" w:rsidRDefault="007074B1" w:rsidP="007074B1">
      <w:pPr>
        <w:keepNext/>
        <w:spacing w:before="120" w:after="0" w:line="240" w:lineRule="auto"/>
        <w:rPr>
          <w:caps/>
          <w:sz w:val="24"/>
          <w:szCs w:val="24"/>
        </w:rPr>
      </w:pPr>
      <w:r>
        <w:rPr>
          <w:b/>
          <w:caps/>
          <w:sz w:val="24"/>
          <w:szCs w:val="24"/>
        </w:rPr>
        <w:t>Senior Managers</w:t>
      </w:r>
    </w:p>
    <w:p w:rsidR="007074B1" w:rsidRPr="00770830" w:rsidRDefault="007074B1" w:rsidP="007074B1">
      <w:pPr>
        <w:spacing w:after="0" w:line="240" w:lineRule="auto"/>
        <w:rPr>
          <w:rFonts w:cstheme="minorHAnsi"/>
        </w:rPr>
      </w:pPr>
      <w:r w:rsidRPr="00770830">
        <w:rPr>
          <w:rFonts w:cstheme="minorHAnsi"/>
        </w:rPr>
        <w:t xml:space="preserve">Senior managers are the executive </w:t>
      </w:r>
      <w:r w:rsidR="00093C01">
        <w:rPr>
          <w:rFonts w:cstheme="minorHAnsi"/>
        </w:rPr>
        <w:t xml:space="preserve">customers of shared services.  </w:t>
      </w:r>
      <w:r w:rsidRPr="00770830">
        <w:rPr>
          <w:rFonts w:cstheme="minorHAnsi"/>
        </w:rPr>
        <w:t>As the executive customer</w:t>
      </w:r>
      <w:r w:rsidR="00093C01">
        <w:rPr>
          <w:rFonts w:cstheme="minorHAnsi"/>
        </w:rPr>
        <w:t>,</w:t>
      </w:r>
      <w:r w:rsidRPr="00770830">
        <w:rPr>
          <w:rFonts w:cstheme="minorHAnsi"/>
        </w:rPr>
        <w:t xml:space="preserve"> they are responsible to:</w:t>
      </w:r>
    </w:p>
    <w:p w:rsidR="007074B1" w:rsidRPr="00770830" w:rsidRDefault="007074B1" w:rsidP="007074B1">
      <w:pPr>
        <w:numPr>
          <w:ilvl w:val="0"/>
          <w:numId w:val="34"/>
        </w:numPr>
        <w:spacing w:after="0" w:line="240" w:lineRule="auto"/>
        <w:rPr>
          <w:rFonts w:cstheme="minorHAnsi"/>
        </w:rPr>
      </w:pPr>
      <w:r w:rsidRPr="00770830">
        <w:rPr>
          <w:rFonts w:cstheme="minorHAnsi"/>
        </w:rPr>
        <w:t>Provide timely and constructive feedback through the Shared Services Board and to the Service Providers</w:t>
      </w:r>
    </w:p>
    <w:p w:rsidR="007074B1" w:rsidRPr="00770830" w:rsidRDefault="007074B1" w:rsidP="007074B1">
      <w:pPr>
        <w:numPr>
          <w:ilvl w:val="0"/>
          <w:numId w:val="34"/>
        </w:numPr>
        <w:spacing w:after="0" w:line="240" w:lineRule="auto"/>
        <w:rPr>
          <w:rFonts w:cstheme="minorHAnsi"/>
        </w:rPr>
      </w:pPr>
      <w:r w:rsidRPr="00770830">
        <w:rPr>
          <w:rFonts w:cstheme="minorHAnsi"/>
        </w:rPr>
        <w:t>Assign staff to serve on Advisory Groups</w:t>
      </w:r>
    </w:p>
    <w:p w:rsidR="007074B1" w:rsidRPr="00770830" w:rsidRDefault="007074B1" w:rsidP="007074B1">
      <w:pPr>
        <w:numPr>
          <w:ilvl w:val="0"/>
          <w:numId w:val="34"/>
        </w:numPr>
        <w:spacing w:after="0" w:line="240" w:lineRule="auto"/>
        <w:rPr>
          <w:rFonts w:cstheme="minorHAnsi"/>
        </w:rPr>
      </w:pPr>
      <w:r w:rsidRPr="00770830">
        <w:rPr>
          <w:rFonts w:cstheme="minorHAnsi"/>
        </w:rPr>
        <w:t>Determine the funding source for services provided</w:t>
      </w:r>
    </w:p>
    <w:p w:rsidR="007074B1" w:rsidRPr="00770830" w:rsidRDefault="007074B1" w:rsidP="007074B1">
      <w:pPr>
        <w:numPr>
          <w:ilvl w:val="0"/>
          <w:numId w:val="34"/>
        </w:numPr>
        <w:spacing w:after="0" w:line="240" w:lineRule="auto"/>
        <w:rPr>
          <w:rFonts w:cstheme="minorHAnsi"/>
        </w:rPr>
      </w:pPr>
      <w:r w:rsidRPr="00770830">
        <w:rPr>
          <w:rFonts w:cstheme="minorHAnsi"/>
        </w:rPr>
        <w:t>Continuously working to control costs</w:t>
      </w:r>
    </w:p>
    <w:p w:rsidR="007074B1" w:rsidRPr="00770830" w:rsidRDefault="007074B1" w:rsidP="007074B1">
      <w:pPr>
        <w:numPr>
          <w:ilvl w:val="0"/>
          <w:numId w:val="34"/>
        </w:numPr>
        <w:spacing w:after="0" w:line="240" w:lineRule="auto"/>
        <w:rPr>
          <w:rFonts w:cstheme="minorHAnsi"/>
        </w:rPr>
      </w:pPr>
      <w:r w:rsidRPr="00770830">
        <w:rPr>
          <w:rFonts w:cstheme="minorHAnsi"/>
        </w:rPr>
        <w:t>Communicate within the division about decisions relating to shared services</w:t>
      </w:r>
    </w:p>
    <w:p w:rsidR="00562BC4" w:rsidRPr="00B40AF7" w:rsidRDefault="00562BC4" w:rsidP="006E7D96">
      <w:pPr>
        <w:pStyle w:val="Heading1"/>
        <w:spacing w:after="240"/>
        <w:rPr>
          <w:rFonts w:ascii="Verdana" w:hAnsi="Verdana"/>
          <w:color w:val="auto"/>
          <w:sz w:val="24"/>
          <w:szCs w:val="24"/>
        </w:rPr>
      </w:pPr>
      <w:r w:rsidRPr="00B40AF7">
        <w:rPr>
          <w:rFonts w:ascii="Verdana" w:hAnsi="Verdana"/>
          <w:color w:val="auto"/>
          <w:sz w:val="24"/>
          <w:szCs w:val="24"/>
        </w:rPr>
        <w:lastRenderedPageBreak/>
        <w:t>Contacts</w:t>
      </w:r>
    </w:p>
    <w:p w:rsidR="002C0061" w:rsidRDefault="00211627" w:rsidP="00562BC4">
      <w:pPr>
        <w:spacing w:after="0" w:line="240" w:lineRule="auto"/>
        <w:rPr>
          <w:rFonts w:cstheme="minorHAnsi"/>
        </w:rPr>
      </w:pPr>
      <w:r>
        <w:rPr>
          <w:rFonts w:cstheme="minorHAnsi"/>
        </w:rPr>
        <w:t>Marcia Honold, Planning Director</w:t>
      </w:r>
    </w:p>
    <w:p w:rsidR="00562BC4" w:rsidRDefault="00211627" w:rsidP="00562BC4">
      <w:pPr>
        <w:spacing w:after="0" w:line="240" w:lineRule="auto"/>
        <w:rPr>
          <w:rFonts w:cstheme="minorHAnsi"/>
        </w:rPr>
      </w:pPr>
      <w:r>
        <w:rPr>
          <w:rFonts w:cstheme="minorHAnsi"/>
        </w:rPr>
        <w:t>Division of Operations Services</w:t>
      </w:r>
    </w:p>
    <w:p w:rsidR="002C0061" w:rsidRDefault="00211627" w:rsidP="00562BC4">
      <w:pPr>
        <w:spacing w:after="0" w:line="240" w:lineRule="auto"/>
        <w:rPr>
          <w:rFonts w:cstheme="minorHAnsi"/>
        </w:rPr>
      </w:pPr>
      <w:r>
        <w:rPr>
          <w:rFonts w:cstheme="minorHAnsi"/>
        </w:rPr>
        <w:t>651-259-5527</w:t>
      </w:r>
    </w:p>
    <w:p w:rsidR="002C0061" w:rsidRDefault="00211627" w:rsidP="00562BC4">
      <w:pPr>
        <w:spacing w:after="0" w:line="240" w:lineRule="auto"/>
        <w:rPr>
          <w:rFonts w:cstheme="minorHAnsi"/>
        </w:rPr>
      </w:pPr>
      <w:r>
        <w:rPr>
          <w:rFonts w:cstheme="minorHAnsi"/>
        </w:rPr>
        <w:t>marcia.honold@state.mn.us</w:t>
      </w:r>
    </w:p>
    <w:p w:rsidR="00470A76" w:rsidRPr="00B40AF7" w:rsidRDefault="00470A76" w:rsidP="006E7D96">
      <w:pPr>
        <w:pStyle w:val="Heading1"/>
        <w:spacing w:after="240"/>
        <w:rPr>
          <w:rFonts w:ascii="Verdana" w:hAnsi="Verdana"/>
          <w:color w:val="auto"/>
          <w:sz w:val="24"/>
          <w:szCs w:val="24"/>
        </w:rPr>
      </w:pPr>
      <w:r w:rsidRPr="00B40AF7">
        <w:rPr>
          <w:rFonts w:ascii="Verdana" w:hAnsi="Verdana"/>
          <w:color w:val="auto"/>
          <w:sz w:val="24"/>
          <w:szCs w:val="24"/>
        </w:rPr>
        <w:t>Definitions</w:t>
      </w:r>
    </w:p>
    <w:p w:rsidR="007074B1" w:rsidRPr="007074B1" w:rsidRDefault="007074B1" w:rsidP="00770830">
      <w:pPr>
        <w:spacing w:before="120" w:after="0" w:line="240" w:lineRule="auto"/>
        <w:rPr>
          <w:rFonts w:cstheme="minorHAnsi"/>
        </w:rPr>
      </w:pPr>
      <w:proofErr w:type="gramStart"/>
      <w:r w:rsidRPr="00770830">
        <w:rPr>
          <w:rFonts w:cstheme="minorHAnsi"/>
          <w:b/>
        </w:rPr>
        <w:t>Service Level Agreements</w:t>
      </w:r>
      <w:r w:rsidR="00770830" w:rsidRPr="00770830">
        <w:rPr>
          <w:rFonts w:cstheme="minorHAnsi"/>
          <w:b/>
        </w:rPr>
        <w:t>.</w:t>
      </w:r>
      <w:proofErr w:type="gramEnd"/>
      <w:r w:rsidR="00770830">
        <w:rPr>
          <w:rFonts w:cstheme="minorHAnsi"/>
          <w:b/>
          <w:caps/>
        </w:rPr>
        <w:t xml:space="preserve">  </w:t>
      </w:r>
      <w:r w:rsidR="00770830" w:rsidRPr="00770830">
        <w:rPr>
          <w:rFonts w:cstheme="minorHAnsi"/>
          <w:caps/>
        </w:rPr>
        <w:t>S</w:t>
      </w:r>
      <w:r w:rsidRPr="007074B1">
        <w:rPr>
          <w:rFonts w:cstheme="minorHAnsi"/>
        </w:rPr>
        <w:t>ervice Level Agreements (SLAs) are contracts between the Service Providers and the Commissioner.  The SLAs summarize the Commissioner’s delegation of obligations with the Service Providers and describe the financial and service relationship between the Service Provider</w:t>
      </w:r>
      <w:r>
        <w:rPr>
          <w:rFonts w:cstheme="minorHAnsi"/>
        </w:rPr>
        <w:t xml:space="preserve">s and the DNR units.  </w:t>
      </w:r>
      <w:r w:rsidRPr="007074B1">
        <w:rPr>
          <w:rFonts w:cstheme="minorHAnsi"/>
        </w:rPr>
        <w:t>SLAs contain a description of the services provided, management objectives and functions, performance measures, scope of responsibilities, funding, performance assessment</w:t>
      </w:r>
      <w:r>
        <w:rPr>
          <w:rFonts w:cstheme="minorHAnsi"/>
        </w:rPr>
        <w:t>,</w:t>
      </w:r>
      <w:r w:rsidRPr="007074B1">
        <w:rPr>
          <w:rFonts w:cstheme="minorHAnsi"/>
        </w:rPr>
        <w:t xml:space="preserve"> and customer obligations.  The Board reviews and recommends approval of SLAs.  Service Level Agreements are established in </w:t>
      </w:r>
      <w:r>
        <w:rPr>
          <w:rFonts w:cstheme="minorHAnsi"/>
        </w:rPr>
        <w:t>odd number years to cover a two-</w:t>
      </w:r>
      <w:r w:rsidRPr="007074B1">
        <w:rPr>
          <w:rFonts w:cstheme="minorHAnsi"/>
        </w:rPr>
        <w:t>year period of service.  This biennial planning framework allows shared services customers to plan for changes in the level or cost of service.</w:t>
      </w:r>
      <w:r w:rsidR="00EB2018">
        <w:rPr>
          <w:rFonts w:cstheme="minorHAnsi"/>
        </w:rPr>
        <w:t xml:space="preserve"> </w:t>
      </w:r>
    </w:p>
    <w:p w:rsidR="007074B1" w:rsidRPr="007074B1" w:rsidRDefault="007074B1" w:rsidP="00770830">
      <w:pPr>
        <w:spacing w:before="120" w:after="0" w:line="240" w:lineRule="auto"/>
        <w:rPr>
          <w:rFonts w:cstheme="minorHAnsi"/>
        </w:rPr>
      </w:pPr>
      <w:proofErr w:type="gramStart"/>
      <w:r w:rsidRPr="00770830">
        <w:rPr>
          <w:rFonts w:cstheme="minorHAnsi"/>
          <w:b/>
        </w:rPr>
        <w:t>Shared Services</w:t>
      </w:r>
      <w:r w:rsidR="00770830" w:rsidRPr="00770830">
        <w:rPr>
          <w:rFonts w:cstheme="minorHAnsi"/>
          <w:b/>
        </w:rPr>
        <w:t>.</w:t>
      </w:r>
      <w:proofErr w:type="gramEnd"/>
      <w:r w:rsidR="00770830">
        <w:rPr>
          <w:rFonts w:cstheme="minorHAnsi"/>
          <w:b/>
          <w:caps/>
        </w:rPr>
        <w:t xml:space="preserve">  </w:t>
      </w:r>
      <w:r w:rsidRPr="007074B1">
        <w:rPr>
          <w:rFonts w:cstheme="minorHAnsi"/>
        </w:rPr>
        <w:t>Shared services are the department’s centralized business services.  Governed by the Shared Services Governance Board, these centralized functions help the department accomplish its natural resources mission.  Examples of DNR shared services include budget and financial, planning and management, communication and outreach, facilities management, information technology, procurement, fleet, safety, and human resources services.</w:t>
      </w:r>
      <w:r w:rsidR="00EB2018">
        <w:rPr>
          <w:rFonts w:cstheme="minorHAnsi"/>
        </w:rPr>
        <w:t xml:space="preserve"> </w:t>
      </w:r>
    </w:p>
    <w:p w:rsidR="007074B1" w:rsidRPr="007074B1" w:rsidRDefault="007074B1" w:rsidP="00770830">
      <w:pPr>
        <w:spacing w:before="120" w:after="0" w:line="240" w:lineRule="auto"/>
        <w:rPr>
          <w:rFonts w:cstheme="minorHAnsi"/>
        </w:rPr>
      </w:pPr>
      <w:r w:rsidRPr="00770830">
        <w:rPr>
          <w:rFonts w:cstheme="minorHAnsi"/>
          <w:b/>
        </w:rPr>
        <w:t>Shared Services Financial Management Structure</w:t>
      </w:r>
      <w:r w:rsidR="00770830" w:rsidRPr="00770830">
        <w:rPr>
          <w:rFonts w:cstheme="minorHAnsi"/>
          <w:b/>
        </w:rPr>
        <w:t>.</w:t>
      </w:r>
      <w:r w:rsidR="00770830">
        <w:rPr>
          <w:rFonts w:cstheme="minorHAnsi"/>
          <w:b/>
          <w:caps/>
        </w:rPr>
        <w:t xml:space="preserve">  </w:t>
      </w:r>
      <w:r w:rsidRPr="007074B1">
        <w:rPr>
          <w:rFonts w:cstheme="minorHAnsi"/>
        </w:rPr>
        <w:t>Shared services are paid for across all units on a fee for service basis and are administered through Service Level Agreements (SLAs).  The complex financial and operating environment of the department must be considered when determining service indices and rates.  Given this environment the following principles are followed in the financial management structure for shared services:</w:t>
      </w:r>
    </w:p>
    <w:p w:rsidR="007074B1" w:rsidRPr="007074B1" w:rsidRDefault="007074B1" w:rsidP="007074B1">
      <w:pPr>
        <w:numPr>
          <w:ilvl w:val="0"/>
          <w:numId w:val="35"/>
        </w:numPr>
        <w:spacing w:after="0" w:line="240" w:lineRule="auto"/>
        <w:rPr>
          <w:rFonts w:cstheme="minorHAnsi"/>
        </w:rPr>
      </w:pPr>
      <w:r w:rsidRPr="007074B1">
        <w:rPr>
          <w:rFonts w:cstheme="minorHAnsi"/>
        </w:rPr>
        <w:t>Division Directors have the authority to determine the funding source for services to ensure the fund integrity is maintained.</w:t>
      </w:r>
    </w:p>
    <w:p w:rsidR="007074B1" w:rsidRPr="007074B1" w:rsidRDefault="007074B1" w:rsidP="007074B1">
      <w:pPr>
        <w:numPr>
          <w:ilvl w:val="0"/>
          <w:numId w:val="35"/>
        </w:numPr>
        <w:spacing w:after="0" w:line="240" w:lineRule="auto"/>
        <w:rPr>
          <w:rFonts w:cstheme="minorHAnsi"/>
        </w:rPr>
      </w:pPr>
      <w:r w:rsidRPr="007074B1">
        <w:rPr>
          <w:rFonts w:cstheme="minorHAnsi"/>
        </w:rPr>
        <w:t>All financing decisions must meet federal and state audit requirements.</w:t>
      </w:r>
    </w:p>
    <w:p w:rsidR="007074B1" w:rsidRPr="007074B1" w:rsidRDefault="007074B1" w:rsidP="007074B1">
      <w:pPr>
        <w:numPr>
          <w:ilvl w:val="0"/>
          <w:numId w:val="35"/>
        </w:numPr>
        <w:spacing w:after="0" w:line="240" w:lineRule="auto"/>
        <w:rPr>
          <w:rFonts w:cstheme="minorHAnsi"/>
        </w:rPr>
      </w:pPr>
      <w:r w:rsidRPr="007074B1">
        <w:rPr>
          <w:rFonts w:cstheme="minorHAnsi"/>
        </w:rPr>
        <w:t xml:space="preserve">Service providers manage the delivery of services at the lowest possible cost while meeting the business needs of the agency. </w:t>
      </w:r>
    </w:p>
    <w:p w:rsidR="007074B1" w:rsidRPr="007074B1" w:rsidRDefault="007074B1" w:rsidP="007074B1">
      <w:pPr>
        <w:numPr>
          <w:ilvl w:val="0"/>
          <w:numId w:val="35"/>
        </w:numPr>
        <w:spacing w:after="0" w:line="240" w:lineRule="auto"/>
        <w:rPr>
          <w:rFonts w:cstheme="minorHAnsi"/>
        </w:rPr>
      </w:pPr>
      <w:r w:rsidRPr="007074B1">
        <w:rPr>
          <w:rFonts w:cstheme="minorHAnsi"/>
        </w:rPr>
        <w:t xml:space="preserve">Costs are consistent, </w:t>
      </w:r>
      <w:r w:rsidR="00F779DC" w:rsidRPr="007074B1">
        <w:rPr>
          <w:rFonts w:cstheme="minorHAnsi"/>
        </w:rPr>
        <w:t>transparent,</w:t>
      </w:r>
      <w:r w:rsidRPr="007074B1">
        <w:rPr>
          <w:rFonts w:cstheme="minorHAnsi"/>
        </w:rPr>
        <w:t xml:space="preserve"> and fair and create incentives f</w:t>
      </w:r>
      <w:r w:rsidR="00921C0A">
        <w:rPr>
          <w:rFonts w:cstheme="minorHAnsi"/>
        </w:rPr>
        <w:t>or customers to control costs.</w:t>
      </w:r>
    </w:p>
    <w:p w:rsidR="007074B1" w:rsidRPr="007074B1" w:rsidRDefault="007074B1" w:rsidP="007074B1">
      <w:pPr>
        <w:numPr>
          <w:ilvl w:val="0"/>
          <w:numId w:val="35"/>
        </w:numPr>
        <w:spacing w:after="0" w:line="240" w:lineRule="auto"/>
        <w:rPr>
          <w:rFonts w:cstheme="minorHAnsi"/>
        </w:rPr>
      </w:pPr>
      <w:r w:rsidRPr="007074B1">
        <w:rPr>
          <w:rFonts w:cstheme="minorHAnsi"/>
        </w:rPr>
        <w:t>The revenue model provides financial stability, manageability, and capacity for continuous improvement.</w:t>
      </w:r>
    </w:p>
    <w:p w:rsidR="007074B1" w:rsidRPr="007074B1" w:rsidRDefault="007074B1" w:rsidP="007074B1">
      <w:pPr>
        <w:numPr>
          <w:ilvl w:val="0"/>
          <w:numId w:val="35"/>
        </w:numPr>
        <w:spacing w:after="0" w:line="240" w:lineRule="auto"/>
        <w:rPr>
          <w:rFonts w:cstheme="minorHAnsi"/>
        </w:rPr>
      </w:pPr>
      <w:r w:rsidRPr="007074B1">
        <w:rPr>
          <w:rFonts w:cstheme="minorHAnsi"/>
        </w:rPr>
        <w:t>Rates and fees are established to recover the full costs of providing the service.</w:t>
      </w:r>
    </w:p>
    <w:p w:rsidR="00082E16" w:rsidRPr="00B40AF7" w:rsidRDefault="00082E16" w:rsidP="006E7D96">
      <w:pPr>
        <w:pStyle w:val="Heading1"/>
        <w:spacing w:after="240"/>
        <w:rPr>
          <w:rFonts w:ascii="Verdana" w:hAnsi="Verdana"/>
          <w:color w:val="auto"/>
          <w:sz w:val="24"/>
          <w:szCs w:val="24"/>
        </w:rPr>
      </w:pPr>
      <w:r w:rsidRPr="00B40AF7">
        <w:rPr>
          <w:rFonts w:ascii="Verdana" w:hAnsi="Verdana"/>
          <w:color w:val="auto"/>
          <w:sz w:val="24"/>
          <w:szCs w:val="24"/>
        </w:rPr>
        <w:t>Forms and Instructions</w:t>
      </w:r>
    </w:p>
    <w:p w:rsidR="007074B1" w:rsidRPr="007074B1" w:rsidRDefault="00F779DC" w:rsidP="007074B1">
      <w:pPr>
        <w:spacing w:after="0" w:line="240" w:lineRule="auto"/>
        <w:rPr>
          <w:rFonts w:cstheme="minorHAnsi"/>
        </w:rPr>
      </w:pPr>
      <w:r w:rsidRPr="007074B1">
        <w:rPr>
          <w:rFonts w:cstheme="minorHAnsi"/>
        </w:rPr>
        <w:t>Official records, such as copies of meeting minutes, reports, Services Level Agreements, amendments, procedures, policies, etc.</w:t>
      </w:r>
      <w:r>
        <w:rPr>
          <w:rFonts w:cstheme="minorHAnsi"/>
        </w:rPr>
        <w:t>,</w:t>
      </w:r>
      <w:r w:rsidRPr="007074B1">
        <w:rPr>
          <w:rFonts w:cstheme="minorHAnsi"/>
        </w:rPr>
        <w:t xml:space="preserve"> are maintained by the staff liaison</w:t>
      </w:r>
      <w:r>
        <w:rPr>
          <w:rFonts w:cstheme="minorHAnsi"/>
        </w:rPr>
        <w:t xml:space="preserve"> and are also located on DNR’s I</w:t>
      </w:r>
      <w:r w:rsidRPr="007074B1">
        <w:rPr>
          <w:rFonts w:cstheme="minorHAnsi"/>
        </w:rPr>
        <w:t>ntranet.</w:t>
      </w:r>
    </w:p>
    <w:p w:rsidR="00562BC4" w:rsidRPr="00B40AF7" w:rsidRDefault="00562BC4" w:rsidP="006E7D96">
      <w:pPr>
        <w:pStyle w:val="Heading1"/>
        <w:spacing w:after="240"/>
        <w:rPr>
          <w:rFonts w:ascii="Verdana" w:hAnsi="Verdana"/>
          <w:color w:val="auto"/>
          <w:sz w:val="24"/>
          <w:szCs w:val="24"/>
        </w:rPr>
      </w:pPr>
      <w:r w:rsidRPr="00B40AF7">
        <w:rPr>
          <w:rFonts w:ascii="Verdana" w:hAnsi="Verdana"/>
          <w:color w:val="auto"/>
          <w:sz w:val="24"/>
          <w:szCs w:val="24"/>
        </w:rPr>
        <w:t>History</w:t>
      </w:r>
    </w:p>
    <w:p w:rsidR="007074B1" w:rsidRPr="007074B1" w:rsidRDefault="007074B1" w:rsidP="007074B1">
      <w:pPr>
        <w:spacing w:after="0" w:line="240" w:lineRule="auto"/>
        <w:rPr>
          <w:rFonts w:cstheme="minorHAnsi"/>
        </w:rPr>
      </w:pPr>
      <w:r w:rsidRPr="007074B1">
        <w:rPr>
          <w:rFonts w:cstheme="minorHAnsi"/>
        </w:rPr>
        <w:t>Laws 2005, chapter 1, section 3 (</w:t>
      </w:r>
      <w:smartTag w:uri="urn:schemas-microsoft-com:office:smarttags" w:element="stockticker">
        <w:r w:rsidRPr="007074B1">
          <w:rPr>
            <w:rFonts w:cstheme="minorHAnsi"/>
          </w:rPr>
          <w:t>DNR</w:t>
        </w:r>
      </w:smartTag>
      <w:r w:rsidRPr="007074B1">
        <w:rPr>
          <w:rFonts w:cstheme="minorHAnsi"/>
        </w:rPr>
        <w:t xml:space="preserve"> appropriations)</w:t>
      </w:r>
    </w:p>
    <w:p w:rsidR="007074B1" w:rsidRPr="007074B1" w:rsidRDefault="007074B1" w:rsidP="007074B1">
      <w:pPr>
        <w:numPr>
          <w:ilvl w:val="0"/>
          <w:numId w:val="36"/>
        </w:numPr>
        <w:spacing w:after="0" w:line="240" w:lineRule="auto"/>
        <w:rPr>
          <w:rFonts w:cstheme="minorHAnsi"/>
        </w:rPr>
      </w:pPr>
      <w:r w:rsidRPr="007074B1">
        <w:rPr>
          <w:rFonts w:cstheme="minorHAnsi"/>
        </w:rPr>
        <w:t xml:space="preserve">The FY06-07 appropriations for the </w:t>
      </w:r>
      <w:smartTag w:uri="urn:schemas-microsoft-com:office:smarttags" w:element="stockticker">
        <w:r w:rsidRPr="007074B1">
          <w:rPr>
            <w:rFonts w:cstheme="minorHAnsi"/>
          </w:rPr>
          <w:t>DNR</w:t>
        </w:r>
      </w:smartTag>
      <w:r w:rsidRPr="007074B1">
        <w:rPr>
          <w:rFonts w:cstheme="minorHAnsi"/>
        </w:rPr>
        <w:t xml:space="preserve"> included a shift of direct appropriations from Human Resources and Management Resources to the division programs.</w:t>
      </w:r>
    </w:p>
    <w:p w:rsidR="007074B1" w:rsidRPr="007074B1" w:rsidRDefault="007074B1" w:rsidP="007074B1">
      <w:pPr>
        <w:spacing w:after="0" w:line="240" w:lineRule="auto"/>
        <w:rPr>
          <w:rFonts w:cstheme="minorHAnsi"/>
        </w:rPr>
      </w:pPr>
      <w:r w:rsidRPr="007074B1">
        <w:rPr>
          <w:rFonts w:cstheme="minorHAnsi"/>
        </w:rPr>
        <w:lastRenderedPageBreak/>
        <w:t>Laws 2007, chapter 57, section 4 (</w:t>
      </w:r>
      <w:smartTag w:uri="urn:schemas-microsoft-com:office:smarttags" w:element="stockticker">
        <w:r w:rsidRPr="007074B1">
          <w:rPr>
            <w:rFonts w:cstheme="minorHAnsi"/>
          </w:rPr>
          <w:t>DNR</w:t>
        </w:r>
      </w:smartTag>
      <w:r w:rsidRPr="007074B1">
        <w:rPr>
          <w:rFonts w:cstheme="minorHAnsi"/>
        </w:rPr>
        <w:t xml:space="preserve"> appropriations)</w:t>
      </w:r>
    </w:p>
    <w:p w:rsidR="007074B1" w:rsidRPr="007074B1" w:rsidRDefault="007074B1" w:rsidP="007074B1">
      <w:pPr>
        <w:numPr>
          <w:ilvl w:val="0"/>
          <w:numId w:val="36"/>
        </w:numPr>
        <w:spacing w:after="0" w:line="240" w:lineRule="auto"/>
        <w:rPr>
          <w:rFonts w:cstheme="minorHAnsi"/>
          <w:color w:val="000000" w:themeColor="text1"/>
          <w:u w:val="single"/>
        </w:rPr>
      </w:pPr>
      <w:r w:rsidRPr="007074B1">
        <w:rPr>
          <w:rFonts w:cstheme="minorHAnsi"/>
        </w:rPr>
        <w:t xml:space="preserve">The FY08-09 appropriations for the </w:t>
      </w:r>
      <w:smartTag w:uri="urn:schemas-microsoft-com:office:smarttags" w:element="stockticker">
        <w:r w:rsidRPr="007074B1">
          <w:rPr>
            <w:rFonts w:cstheme="minorHAnsi"/>
          </w:rPr>
          <w:t>DNR</w:t>
        </w:r>
      </w:smartTag>
      <w:r w:rsidRPr="007074B1">
        <w:rPr>
          <w:rFonts w:cstheme="minorHAnsi"/>
        </w:rPr>
        <w:t xml:space="preserve"> included a shift of direct appropriations from Office of Management and Budget Services and Information &amp; Education to the division programs.</w:t>
      </w:r>
    </w:p>
    <w:p w:rsidR="007074B1" w:rsidRPr="007074B1" w:rsidRDefault="007074B1" w:rsidP="007074B1">
      <w:pPr>
        <w:spacing w:after="0" w:line="240" w:lineRule="auto"/>
        <w:rPr>
          <w:rFonts w:cstheme="minorHAnsi"/>
        </w:rPr>
      </w:pPr>
    </w:p>
    <w:p w:rsidR="007074B1" w:rsidRPr="007074B1" w:rsidRDefault="007074B1" w:rsidP="007074B1">
      <w:pPr>
        <w:spacing w:after="0" w:line="240" w:lineRule="auto"/>
        <w:rPr>
          <w:rFonts w:ascii="Verdana" w:hAnsi="Verdana"/>
          <w:color w:val="000000" w:themeColor="text1"/>
          <w:sz w:val="20"/>
          <w:szCs w:val="20"/>
        </w:rPr>
      </w:pPr>
      <w:r w:rsidRPr="007074B1">
        <w:rPr>
          <w:rFonts w:ascii="Verdana" w:hAnsi="Verdana"/>
          <w:color w:val="000000" w:themeColor="text1"/>
          <w:sz w:val="20"/>
          <w:szCs w:val="20"/>
        </w:rPr>
        <w:t>Additional Authorities:</w:t>
      </w:r>
    </w:p>
    <w:p w:rsidR="007074B1" w:rsidRPr="007074B1" w:rsidRDefault="007074B1" w:rsidP="007074B1">
      <w:pPr>
        <w:numPr>
          <w:ilvl w:val="0"/>
          <w:numId w:val="37"/>
        </w:numPr>
        <w:contextualSpacing/>
        <w:rPr>
          <w:rFonts w:ascii="Verdana" w:hAnsi="Verdana"/>
          <w:color w:val="000000" w:themeColor="text1"/>
          <w:sz w:val="20"/>
          <w:szCs w:val="20"/>
        </w:rPr>
      </w:pPr>
      <w:r w:rsidRPr="007074B1">
        <w:rPr>
          <w:rFonts w:ascii="Verdana" w:hAnsi="Verdana"/>
          <w:i/>
          <w:color w:val="000000" w:themeColor="text1"/>
          <w:sz w:val="20"/>
          <w:szCs w:val="20"/>
        </w:rPr>
        <w:t>Minnesota Statutes</w:t>
      </w:r>
      <w:r w:rsidRPr="007074B1">
        <w:rPr>
          <w:rFonts w:ascii="Verdana" w:hAnsi="Verdana"/>
          <w:color w:val="000000" w:themeColor="text1"/>
          <w:sz w:val="20"/>
          <w:szCs w:val="20"/>
        </w:rPr>
        <w:t>, section 84.025, subdivision 9 – Contracts for Professional and Maintenance Services</w:t>
      </w:r>
    </w:p>
    <w:p w:rsidR="007074B1" w:rsidRPr="007074B1" w:rsidRDefault="007074B1" w:rsidP="007074B1">
      <w:pPr>
        <w:numPr>
          <w:ilvl w:val="0"/>
          <w:numId w:val="37"/>
        </w:numPr>
        <w:contextualSpacing/>
        <w:rPr>
          <w:rFonts w:ascii="Verdana" w:hAnsi="Verdana"/>
          <w:color w:val="000000" w:themeColor="text1"/>
          <w:sz w:val="20"/>
          <w:szCs w:val="20"/>
        </w:rPr>
      </w:pPr>
      <w:r w:rsidRPr="007074B1">
        <w:rPr>
          <w:rFonts w:ascii="Verdana" w:hAnsi="Verdana"/>
          <w:i/>
          <w:color w:val="000000" w:themeColor="text1"/>
          <w:sz w:val="20"/>
          <w:szCs w:val="20"/>
        </w:rPr>
        <w:t>Minnesota Statutes</w:t>
      </w:r>
      <w:r w:rsidRPr="007074B1">
        <w:rPr>
          <w:rFonts w:ascii="Verdana" w:hAnsi="Verdana"/>
          <w:color w:val="000000" w:themeColor="text1"/>
          <w:sz w:val="20"/>
          <w:szCs w:val="20"/>
        </w:rPr>
        <w:t>, section 84.0856 – Fleet Management Account</w:t>
      </w:r>
    </w:p>
    <w:p w:rsidR="007074B1" w:rsidRPr="007074B1" w:rsidRDefault="007074B1" w:rsidP="007074B1">
      <w:pPr>
        <w:numPr>
          <w:ilvl w:val="0"/>
          <w:numId w:val="37"/>
        </w:numPr>
        <w:contextualSpacing/>
        <w:rPr>
          <w:rFonts w:ascii="Verdana" w:hAnsi="Verdana"/>
          <w:color w:val="000000" w:themeColor="text1"/>
          <w:sz w:val="20"/>
          <w:szCs w:val="20"/>
        </w:rPr>
      </w:pPr>
      <w:r w:rsidRPr="007074B1">
        <w:rPr>
          <w:rFonts w:ascii="Verdana" w:hAnsi="Verdana"/>
          <w:i/>
          <w:color w:val="000000" w:themeColor="text1"/>
          <w:sz w:val="20"/>
          <w:szCs w:val="20"/>
        </w:rPr>
        <w:t>Minnesota Statutes</w:t>
      </w:r>
      <w:r w:rsidRPr="007074B1">
        <w:rPr>
          <w:rFonts w:ascii="Verdana" w:hAnsi="Verdana"/>
          <w:color w:val="000000" w:themeColor="text1"/>
          <w:sz w:val="20"/>
          <w:szCs w:val="20"/>
        </w:rPr>
        <w:t>, section 84.0857 – Facilities Management Account</w:t>
      </w:r>
    </w:p>
    <w:p w:rsidR="007074B1" w:rsidRPr="007074B1" w:rsidRDefault="007074B1" w:rsidP="007074B1">
      <w:pPr>
        <w:numPr>
          <w:ilvl w:val="0"/>
          <w:numId w:val="37"/>
        </w:numPr>
        <w:spacing w:after="0" w:line="240" w:lineRule="auto"/>
        <w:contextualSpacing/>
        <w:rPr>
          <w:rFonts w:ascii="Verdana" w:hAnsi="Verdana" w:cstheme="minorHAnsi"/>
          <w:color w:val="000000" w:themeColor="text1"/>
          <w:sz w:val="20"/>
          <w:szCs w:val="20"/>
        </w:rPr>
      </w:pPr>
      <w:r w:rsidRPr="007074B1">
        <w:rPr>
          <w:rFonts w:ascii="Verdana" w:hAnsi="Verdana"/>
          <w:i/>
          <w:color w:val="000000" w:themeColor="text1"/>
          <w:sz w:val="20"/>
          <w:szCs w:val="20"/>
        </w:rPr>
        <w:t>Minnesota Statutes</w:t>
      </w:r>
      <w:r w:rsidRPr="007074B1">
        <w:rPr>
          <w:rFonts w:ascii="Verdana" w:hAnsi="Verdana"/>
          <w:color w:val="000000" w:themeColor="text1"/>
          <w:sz w:val="20"/>
          <w:szCs w:val="20"/>
        </w:rPr>
        <w:t>, section 16A.055 – Commissioner’s Duties</w:t>
      </w:r>
    </w:p>
    <w:p w:rsidR="007074B1" w:rsidRPr="007074B1" w:rsidRDefault="007074B1" w:rsidP="007074B1">
      <w:pPr>
        <w:spacing w:after="0" w:line="240" w:lineRule="auto"/>
        <w:rPr>
          <w:rFonts w:ascii="Verdana" w:hAnsi="Verdana" w:cstheme="minorHAnsi"/>
          <w:sz w:val="20"/>
          <w:szCs w:val="20"/>
        </w:rPr>
      </w:pPr>
    </w:p>
    <w:p w:rsidR="002E0A98" w:rsidRDefault="00562BC4" w:rsidP="00216050">
      <w:pPr>
        <w:keepNext/>
        <w:spacing w:after="0" w:line="240" w:lineRule="auto"/>
        <w:rPr>
          <w:rStyle w:val="Strong"/>
        </w:rPr>
      </w:pPr>
      <w:r w:rsidRPr="00A024F6">
        <w:rPr>
          <w:rStyle w:val="Strong"/>
        </w:rPr>
        <w:t xml:space="preserve">Amended: </w:t>
      </w:r>
      <w:r w:rsidR="007074B1">
        <w:rPr>
          <w:rStyle w:val="Strong"/>
        </w:rPr>
        <w:t xml:space="preserve"> </w:t>
      </w:r>
    </w:p>
    <w:p w:rsidR="00562BC4" w:rsidRPr="007074B1" w:rsidRDefault="007074B1" w:rsidP="00216050">
      <w:pPr>
        <w:keepNext/>
        <w:spacing w:after="0" w:line="240" w:lineRule="auto"/>
        <w:rPr>
          <w:rStyle w:val="Strong"/>
          <w:b w:val="0"/>
        </w:rPr>
      </w:pPr>
      <w:r w:rsidRPr="007074B1">
        <w:rPr>
          <w:rStyle w:val="Strong"/>
          <w:b w:val="0"/>
        </w:rPr>
        <w:t>N.A.</w:t>
      </w:r>
    </w:p>
    <w:p w:rsidR="00562BC4" w:rsidRDefault="00562BC4" w:rsidP="00562BC4">
      <w:pPr>
        <w:spacing w:after="0" w:line="240" w:lineRule="auto"/>
        <w:rPr>
          <w:rFonts w:cstheme="minorHAnsi"/>
        </w:rPr>
      </w:pPr>
    </w:p>
    <w:p w:rsidR="002E0A98" w:rsidRDefault="00FF1CE0" w:rsidP="00562BC4">
      <w:pPr>
        <w:spacing w:after="0" w:line="240" w:lineRule="auto"/>
        <w:rPr>
          <w:rStyle w:val="Strong"/>
          <w:b w:val="0"/>
        </w:rPr>
      </w:pPr>
      <w:r w:rsidRPr="00A024F6">
        <w:rPr>
          <w:rStyle w:val="Strong"/>
        </w:rPr>
        <w:t>Supers</w:t>
      </w:r>
      <w:r w:rsidR="005B4306" w:rsidRPr="00A024F6">
        <w:rPr>
          <w:rStyle w:val="Strong"/>
        </w:rPr>
        <w:t>edes:</w:t>
      </w:r>
      <w:r w:rsidR="007074B1">
        <w:rPr>
          <w:rStyle w:val="Strong"/>
          <w:b w:val="0"/>
        </w:rPr>
        <w:t xml:space="preserve">  </w:t>
      </w:r>
    </w:p>
    <w:p w:rsidR="005B4306" w:rsidRPr="007074B1" w:rsidRDefault="007074B1" w:rsidP="00562BC4">
      <w:pPr>
        <w:spacing w:after="0" w:line="240" w:lineRule="auto"/>
        <w:rPr>
          <w:rStyle w:val="Strong"/>
          <w:b w:val="0"/>
        </w:rPr>
      </w:pPr>
      <w:r>
        <w:rPr>
          <w:rStyle w:val="Strong"/>
          <w:b w:val="0"/>
        </w:rPr>
        <w:t>N.A.</w:t>
      </w:r>
    </w:p>
    <w:p w:rsidR="002F1FFD" w:rsidRPr="007323B9" w:rsidRDefault="002F1FFD" w:rsidP="002F1FFD">
      <w:pPr>
        <w:spacing w:after="0" w:line="240" w:lineRule="auto"/>
        <w:rPr>
          <w:rFonts w:cstheme="minorHAnsi"/>
        </w:rPr>
      </w:pPr>
    </w:p>
    <w:sectPr w:rsidR="002F1FFD" w:rsidRPr="007323B9" w:rsidSect="00EF230D">
      <w:footerReference w:type="default" r:id="rId9"/>
      <w:pgSz w:w="12240" w:h="15840" w:code="1"/>
      <w:pgMar w:top="1080" w:right="1080" w:bottom="1008" w:left="108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207" w:rsidRDefault="002D5207" w:rsidP="00B354C9">
      <w:pPr>
        <w:spacing w:after="0" w:line="240" w:lineRule="auto"/>
      </w:pPr>
      <w:r>
        <w:separator/>
      </w:r>
    </w:p>
  </w:endnote>
  <w:endnote w:type="continuationSeparator" w:id="0">
    <w:p w:rsidR="002D5207" w:rsidRDefault="002D5207" w:rsidP="00B35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8034275"/>
      <w:docPartObj>
        <w:docPartGallery w:val="Page Numbers (Bottom of Page)"/>
        <w:docPartUnique/>
      </w:docPartObj>
    </w:sdtPr>
    <w:sdtContent>
      <w:sdt>
        <w:sdtPr>
          <w:rPr>
            <w:sz w:val="20"/>
            <w:szCs w:val="20"/>
          </w:rPr>
          <w:id w:val="565050477"/>
          <w:docPartObj>
            <w:docPartGallery w:val="Page Numbers (Top of Page)"/>
            <w:docPartUnique/>
          </w:docPartObj>
        </w:sdtPr>
        <w:sdtContent>
          <w:p w:rsidR="007A5A9B" w:rsidRPr="00A95910" w:rsidRDefault="007A5A9B">
            <w:pPr>
              <w:pStyle w:val="Footer"/>
              <w:jc w:val="center"/>
              <w:rPr>
                <w:sz w:val="20"/>
                <w:szCs w:val="20"/>
              </w:rPr>
            </w:pPr>
            <w:r w:rsidRPr="00A95910">
              <w:rPr>
                <w:sz w:val="20"/>
                <w:szCs w:val="20"/>
              </w:rPr>
              <w:t xml:space="preserve">Page </w:t>
            </w:r>
            <w:r w:rsidR="00CB2EBA" w:rsidRPr="00A95910">
              <w:rPr>
                <w:sz w:val="20"/>
                <w:szCs w:val="20"/>
              </w:rPr>
              <w:fldChar w:fldCharType="begin"/>
            </w:r>
            <w:r w:rsidRPr="00A95910">
              <w:rPr>
                <w:sz w:val="20"/>
                <w:szCs w:val="20"/>
              </w:rPr>
              <w:instrText xml:space="preserve"> PAGE </w:instrText>
            </w:r>
            <w:r w:rsidR="00CB2EBA" w:rsidRPr="00A95910">
              <w:rPr>
                <w:sz w:val="20"/>
                <w:szCs w:val="20"/>
              </w:rPr>
              <w:fldChar w:fldCharType="separate"/>
            </w:r>
            <w:r w:rsidR="005A3FA9">
              <w:rPr>
                <w:noProof/>
                <w:sz w:val="20"/>
                <w:szCs w:val="20"/>
              </w:rPr>
              <w:t>3</w:t>
            </w:r>
            <w:r w:rsidR="00CB2EBA" w:rsidRPr="00A95910">
              <w:rPr>
                <w:sz w:val="20"/>
                <w:szCs w:val="20"/>
              </w:rPr>
              <w:fldChar w:fldCharType="end"/>
            </w:r>
            <w:r w:rsidRPr="00A95910">
              <w:rPr>
                <w:sz w:val="20"/>
                <w:szCs w:val="20"/>
              </w:rPr>
              <w:t xml:space="preserve"> of </w:t>
            </w:r>
            <w:r w:rsidR="00CB2EBA" w:rsidRPr="00A95910">
              <w:rPr>
                <w:sz w:val="20"/>
                <w:szCs w:val="20"/>
              </w:rPr>
              <w:fldChar w:fldCharType="begin"/>
            </w:r>
            <w:r w:rsidRPr="00A95910">
              <w:rPr>
                <w:sz w:val="20"/>
                <w:szCs w:val="20"/>
              </w:rPr>
              <w:instrText xml:space="preserve"> NUMPAGES  </w:instrText>
            </w:r>
            <w:r w:rsidR="00CB2EBA" w:rsidRPr="00A95910">
              <w:rPr>
                <w:sz w:val="20"/>
                <w:szCs w:val="20"/>
              </w:rPr>
              <w:fldChar w:fldCharType="separate"/>
            </w:r>
            <w:r w:rsidR="005A3FA9">
              <w:rPr>
                <w:noProof/>
                <w:sz w:val="20"/>
                <w:szCs w:val="20"/>
              </w:rPr>
              <w:t>5</w:t>
            </w:r>
            <w:r w:rsidR="00CB2EBA" w:rsidRPr="00A95910">
              <w:rPr>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207" w:rsidRDefault="002D5207" w:rsidP="00B354C9">
      <w:pPr>
        <w:spacing w:after="0" w:line="240" w:lineRule="auto"/>
      </w:pPr>
      <w:r>
        <w:separator/>
      </w:r>
    </w:p>
  </w:footnote>
  <w:footnote w:type="continuationSeparator" w:id="0">
    <w:p w:rsidR="002D5207" w:rsidRDefault="002D5207" w:rsidP="00B354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878"/>
    <w:multiLevelType w:val="hybridMultilevel"/>
    <w:tmpl w:val="30FEF0F2"/>
    <w:lvl w:ilvl="0" w:tplc="BA3068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45DD"/>
    <w:multiLevelType w:val="hybridMultilevel"/>
    <w:tmpl w:val="EA88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23EB2"/>
    <w:multiLevelType w:val="hybridMultilevel"/>
    <w:tmpl w:val="CF96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0565F"/>
    <w:multiLevelType w:val="hybridMultilevel"/>
    <w:tmpl w:val="F8243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1EE"/>
    <w:multiLevelType w:val="hybridMultilevel"/>
    <w:tmpl w:val="3A902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10153"/>
    <w:multiLevelType w:val="hybridMultilevel"/>
    <w:tmpl w:val="04C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7169E"/>
    <w:multiLevelType w:val="hybridMultilevel"/>
    <w:tmpl w:val="E640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01686"/>
    <w:multiLevelType w:val="hybridMultilevel"/>
    <w:tmpl w:val="6C16E26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A607E"/>
    <w:multiLevelType w:val="hybridMultilevel"/>
    <w:tmpl w:val="125A435C"/>
    <w:lvl w:ilvl="0" w:tplc="105E4D4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BDF7213"/>
    <w:multiLevelType w:val="hybridMultilevel"/>
    <w:tmpl w:val="3660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7548FD"/>
    <w:multiLevelType w:val="hybridMultilevel"/>
    <w:tmpl w:val="16369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1D7C"/>
    <w:multiLevelType w:val="hybridMultilevel"/>
    <w:tmpl w:val="98E6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4690F"/>
    <w:multiLevelType w:val="hybridMultilevel"/>
    <w:tmpl w:val="3E48DD26"/>
    <w:lvl w:ilvl="0" w:tplc="04090011">
      <w:start w:val="1"/>
      <w:numFmt w:val="decimal"/>
      <w:lvlText w:val="%1)"/>
      <w:lvlJc w:val="left"/>
      <w:pPr>
        <w:ind w:left="864" w:hanging="360"/>
      </w:pPr>
      <w:rPr>
        <w:rFont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nsid w:val="2E552DE6"/>
    <w:multiLevelType w:val="hybridMultilevel"/>
    <w:tmpl w:val="2632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5D5AE1"/>
    <w:multiLevelType w:val="hybridMultilevel"/>
    <w:tmpl w:val="71CA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110FE"/>
    <w:multiLevelType w:val="hybridMultilevel"/>
    <w:tmpl w:val="6C16E26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00C49"/>
    <w:multiLevelType w:val="hybridMultilevel"/>
    <w:tmpl w:val="11A8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D1CB5"/>
    <w:multiLevelType w:val="hybridMultilevel"/>
    <w:tmpl w:val="8E58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952A71"/>
    <w:multiLevelType w:val="hybridMultilevel"/>
    <w:tmpl w:val="C8225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4D78F4"/>
    <w:multiLevelType w:val="hybridMultilevel"/>
    <w:tmpl w:val="0A56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4A1F22"/>
    <w:multiLevelType w:val="hybridMultilevel"/>
    <w:tmpl w:val="3606EA5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nsid w:val="4CA358E8"/>
    <w:multiLevelType w:val="hybridMultilevel"/>
    <w:tmpl w:val="228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1A11DB"/>
    <w:multiLevelType w:val="hybridMultilevel"/>
    <w:tmpl w:val="7BB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B32B76"/>
    <w:multiLevelType w:val="hybridMultilevel"/>
    <w:tmpl w:val="29528DA4"/>
    <w:lvl w:ilvl="0" w:tplc="04090017">
      <w:start w:val="1"/>
      <w:numFmt w:val="lowerLetter"/>
      <w:lvlText w:val="%1)"/>
      <w:lvlJc w:val="left"/>
      <w:pPr>
        <w:ind w:left="864" w:hanging="360"/>
      </w:pPr>
      <w:rPr>
        <w:rFont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nsid w:val="5D030527"/>
    <w:multiLevelType w:val="hybridMultilevel"/>
    <w:tmpl w:val="9770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0069BF"/>
    <w:multiLevelType w:val="hybridMultilevel"/>
    <w:tmpl w:val="1732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1C34DF"/>
    <w:multiLevelType w:val="hybridMultilevel"/>
    <w:tmpl w:val="40067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010B91"/>
    <w:multiLevelType w:val="hybridMultilevel"/>
    <w:tmpl w:val="C54811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885EC8"/>
    <w:multiLevelType w:val="hybridMultilevel"/>
    <w:tmpl w:val="C434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9E4DF5"/>
    <w:multiLevelType w:val="hybridMultilevel"/>
    <w:tmpl w:val="0296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341111"/>
    <w:multiLevelType w:val="hybridMultilevel"/>
    <w:tmpl w:val="E4F08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BC1B8D"/>
    <w:multiLevelType w:val="hybridMultilevel"/>
    <w:tmpl w:val="3C1457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855C88"/>
    <w:multiLevelType w:val="hybridMultilevel"/>
    <w:tmpl w:val="4D1ED75A"/>
    <w:lvl w:ilvl="0" w:tplc="9998D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4FF3578"/>
    <w:multiLevelType w:val="hybridMultilevel"/>
    <w:tmpl w:val="DC04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E40992"/>
    <w:multiLevelType w:val="hybridMultilevel"/>
    <w:tmpl w:val="ACC21D84"/>
    <w:lvl w:ilvl="0" w:tplc="9998D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B7243B"/>
    <w:multiLevelType w:val="hybridMultilevel"/>
    <w:tmpl w:val="243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5A65AE"/>
    <w:multiLevelType w:val="hybridMultilevel"/>
    <w:tmpl w:val="30C41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2"/>
  </w:num>
  <w:num w:numId="5">
    <w:abstractNumId w:val="7"/>
  </w:num>
  <w:num w:numId="6">
    <w:abstractNumId w:val="25"/>
  </w:num>
  <w:num w:numId="7">
    <w:abstractNumId w:val="23"/>
  </w:num>
  <w:num w:numId="8">
    <w:abstractNumId w:val="12"/>
  </w:num>
  <w:num w:numId="9">
    <w:abstractNumId w:val="26"/>
  </w:num>
  <w:num w:numId="10">
    <w:abstractNumId w:val="11"/>
  </w:num>
  <w:num w:numId="11">
    <w:abstractNumId w:val="27"/>
  </w:num>
  <w:num w:numId="12">
    <w:abstractNumId w:val="17"/>
  </w:num>
  <w:num w:numId="13">
    <w:abstractNumId w:val="16"/>
  </w:num>
  <w:num w:numId="14">
    <w:abstractNumId w:val="19"/>
  </w:num>
  <w:num w:numId="15">
    <w:abstractNumId w:val="14"/>
  </w:num>
  <w:num w:numId="16">
    <w:abstractNumId w:val="15"/>
  </w:num>
  <w:num w:numId="17">
    <w:abstractNumId w:val="9"/>
  </w:num>
  <w:num w:numId="18">
    <w:abstractNumId w:val="4"/>
  </w:num>
  <w:num w:numId="19">
    <w:abstractNumId w:val="31"/>
  </w:num>
  <w:num w:numId="20">
    <w:abstractNumId w:val="34"/>
  </w:num>
  <w:num w:numId="21">
    <w:abstractNumId w:val="32"/>
  </w:num>
  <w:num w:numId="22">
    <w:abstractNumId w:val="20"/>
  </w:num>
  <w:num w:numId="23">
    <w:abstractNumId w:val="24"/>
  </w:num>
  <w:num w:numId="24">
    <w:abstractNumId w:val="36"/>
  </w:num>
  <w:num w:numId="25">
    <w:abstractNumId w:val="30"/>
  </w:num>
  <w:num w:numId="26">
    <w:abstractNumId w:val="3"/>
  </w:num>
  <w:num w:numId="27">
    <w:abstractNumId w:val="0"/>
  </w:num>
  <w:num w:numId="28">
    <w:abstractNumId w:val="18"/>
  </w:num>
  <w:num w:numId="29">
    <w:abstractNumId w:val="33"/>
  </w:num>
  <w:num w:numId="30">
    <w:abstractNumId w:val="29"/>
  </w:num>
  <w:num w:numId="31">
    <w:abstractNumId w:val="35"/>
  </w:num>
  <w:num w:numId="32">
    <w:abstractNumId w:val="28"/>
  </w:num>
  <w:num w:numId="33">
    <w:abstractNumId w:val="22"/>
  </w:num>
  <w:num w:numId="34">
    <w:abstractNumId w:val="5"/>
  </w:num>
  <w:num w:numId="35">
    <w:abstractNumId w:val="13"/>
  </w:num>
  <w:num w:numId="36">
    <w:abstractNumId w:val="8"/>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360"/>
  <w:characterSpacingControl w:val="doNotCompress"/>
  <w:hdrShapeDefaults>
    <o:shapedefaults v:ext="edit" spidmax="11266"/>
  </w:hdrShapeDefaults>
  <w:footnotePr>
    <w:footnote w:id="-1"/>
    <w:footnote w:id="0"/>
  </w:footnotePr>
  <w:endnotePr>
    <w:endnote w:id="-1"/>
    <w:endnote w:id="0"/>
  </w:endnotePr>
  <w:compat>
    <w:useFELayout/>
  </w:compat>
  <w:rsids>
    <w:rsidRoot w:val="00486B55"/>
    <w:rsid w:val="000070E3"/>
    <w:rsid w:val="000249EC"/>
    <w:rsid w:val="000333C4"/>
    <w:rsid w:val="000439E9"/>
    <w:rsid w:val="00045491"/>
    <w:rsid w:val="00053390"/>
    <w:rsid w:val="00066E85"/>
    <w:rsid w:val="00067738"/>
    <w:rsid w:val="00072559"/>
    <w:rsid w:val="00074B23"/>
    <w:rsid w:val="00075338"/>
    <w:rsid w:val="00076C85"/>
    <w:rsid w:val="00082E16"/>
    <w:rsid w:val="00093C01"/>
    <w:rsid w:val="00095074"/>
    <w:rsid w:val="000D2219"/>
    <w:rsid w:val="000F3547"/>
    <w:rsid w:val="000F354B"/>
    <w:rsid w:val="000F7EC4"/>
    <w:rsid w:val="00104347"/>
    <w:rsid w:val="00105497"/>
    <w:rsid w:val="001178A4"/>
    <w:rsid w:val="00136BFA"/>
    <w:rsid w:val="0015533B"/>
    <w:rsid w:val="001579BF"/>
    <w:rsid w:val="0017028B"/>
    <w:rsid w:val="00175E76"/>
    <w:rsid w:val="0019084E"/>
    <w:rsid w:val="001A18E7"/>
    <w:rsid w:val="001B5DB4"/>
    <w:rsid w:val="001C0734"/>
    <w:rsid w:val="001D738F"/>
    <w:rsid w:val="001E0116"/>
    <w:rsid w:val="001F2E8B"/>
    <w:rsid w:val="00210079"/>
    <w:rsid w:val="00210235"/>
    <w:rsid w:val="00211627"/>
    <w:rsid w:val="00216050"/>
    <w:rsid w:val="00231A4B"/>
    <w:rsid w:val="00240298"/>
    <w:rsid w:val="00244231"/>
    <w:rsid w:val="00246DC8"/>
    <w:rsid w:val="00254C3E"/>
    <w:rsid w:val="002649B6"/>
    <w:rsid w:val="00281C24"/>
    <w:rsid w:val="002C0061"/>
    <w:rsid w:val="002D5207"/>
    <w:rsid w:val="002D5460"/>
    <w:rsid w:val="002E0A98"/>
    <w:rsid w:val="002F1FFD"/>
    <w:rsid w:val="0030444E"/>
    <w:rsid w:val="00311BE4"/>
    <w:rsid w:val="003128F7"/>
    <w:rsid w:val="00314FE9"/>
    <w:rsid w:val="003224BB"/>
    <w:rsid w:val="00325576"/>
    <w:rsid w:val="00332715"/>
    <w:rsid w:val="00332AB9"/>
    <w:rsid w:val="003342DC"/>
    <w:rsid w:val="00346960"/>
    <w:rsid w:val="00355D3B"/>
    <w:rsid w:val="003638A2"/>
    <w:rsid w:val="0037153B"/>
    <w:rsid w:val="00372066"/>
    <w:rsid w:val="003846B8"/>
    <w:rsid w:val="003905D0"/>
    <w:rsid w:val="0039646C"/>
    <w:rsid w:val="003A22B7"/>
    <w:rsid w:val="003A4356"/>
    <w:rsid w:val="003A5747"/>
    <w:rsid w:val="003A7EFA"/>
    <w:rsid w:val="003B1B95"/>
    <w:rsid w:val="003B2583"/>
    <w:rsid w:val="003B51B1"/>
    <w:rsid w:val="003C6139"/>
    <w:rsid w:val="003D1AE1"/>
    <w:rsid w:val="003D3D77"/>
    <w:rsid w:val="003E080C"/>
    <w:rsid w:val="003F066C"/>
    <w:rsid w:val="00405E86"/>
    <w:rsid w:val="00423910"/>
    <w:rsid w:val="00443530"/>
    <w:rsid w:val="00444E16"/>
    <w:rsid w:val="004464F5"/>
    <w:rsid w:val="00453A8D"/>
    <w:rsid w:val="0045554F"/>
    <w:rsid w:val="00470A76"/>
    <w:rsid w:val="00486B55"/>
    <w:rsid w:val="004C392D"/>
    <w:rsid w:val="004C7D11"/>
    <w:rsid w:val="004D0CD0"/>
    <w:rsid w:val="004D604D"/>
    <w:rsid w:val="004E7D35"/>
    <w:rsid w:val="00522EB6"/>
    <w:rsid w:val="00523360"/>
    <w:rsid w:val="00526D69"/>
    <w:rsid w:val="00536CE1"/>
    <w:rsid w:val="00537C88"/>
    <w:rsid w:val="00541F3A"/>
    <w:rsid w:val="00555ADF"/>
    <w:rsid w:val="00562BC4"/>
    <w:rsid w:val="00584E25"/>
    <w:rsid w:val="005910C9"/>
    <w:rsid w:val="005914C8"/>
    <w:rsid w:val="00594E1B"/>
    <w:rsid w:val="005A1B5D"/>
    <w:rsid w:val="005A27C9"/>
    <w:rsid w:val="005A3FA9"/>
    <w:rsid w:val="005B4306"/>
    <w:rsid w:val="005B72FB"/>
    <w:rsid w:val="005C2459"/>
    <w:rsid w:val="005C5047"/>
    <w:rsid w:val="005C7534"/>
    <w:rsid w:val="005D12F3"/>
    <w:rsid w:val="005D4E75"/>
    <w:rsid w:val="005E6F51"/>
    <w:rsid w:val="005F4A0F"/>
    <w:rsid w:val="00601E55"/>
    <w:rsid w:val="0061420B"/>
    <w:rsid w:val="006208F7"/>
    <w:rsid w:val="006267AB"/>
    <w:rsid w:val="0063250F"/>
    <w:rsid w:val="00636C7A"/>
    <w:rsid w:val="006408AA"/>
    <w:rsid w:val="00640DEF"/>
    <w:rsid w:val="00650537"/>
    <w:rsid w:val="0066243D"/>
    <w:rsid w:val="0067413F"/>
    <w:rsid w:val="00681E1A"/>
    <w:rsid w:val="006926FA"/>
    <w:rsid w:val="00695572"/>
    <w:rsid w:val="00695596"/>
    <w:rsid w:val="00696432"/>
    <w:rsid w:val="006A0D41"/>
    <w:rsid w:val="006D3552"/>
    <w:rsid w:val="006D553B"/>
    <w:rsid w:val="006E28BD"/>
    <w:rsid w:val="006E7D96"/>
    <w:rsid w:val="007074B1"/>
    <w:rsid w:val="0072044C"/>
    <w:rsid w:val="00744BBF"/>
    <w:rsid w:val="00763771"/>
    <w:rsid w:val="00770830"/>
    <w:rsid w:val="007800F4"/>
    <w:rsid w:val="00781AA4"/>
    <w:rsid w:val="0078492C"/>
    <w:rsid w:val="007853E0"/>
    <w:rsid w:val="007A3553"/>
    <w:rsid w:val="007A5A9B"/>
    <w:rsid w:val="007A6CA6"/>
    <w:rsid w:val="007B5C98"/>
    <w:rsid w:val="007C66D8"/>
    <w:rsid w:val="007D6C7E"/>
    <w:rsid w:val="007E7387"/>
    <w:rsid w:val="007F133E"/>
    <w:rsid w:val="00820868"/>
    <w:rsid w:val="00824DBB"/>
    <w:rsid w:val="008252BB"/>
    <w:rsid w:val="00831930"/>
    <w:rsid w:val="00836727"/>
    <w:rsid w:val="008512AB"/>
    <w:rsid w:val="00860C2B"/>
    <w:rsid w:val="008776B0"/>
    <w:rsid w:val="00892F1E"/>
    <w:rsid w:val="0089649B"/>
    <w:rsid w:val="0089699F"/>
    <w:rsid w:val="008A04B8"/>
    <w:rsid w:val="008A3E1A"/>
    <w:rsid w:val="008B166C"/>
    <w:rsid w:val="008C1245"/>
    <w:rsid w:val="008D100E"/>
    <w:rsid w:val="008D53BF"/>
    <w:rsid w:val="008D6C73"/>
    <w:rsid w:val="008E390E"/>
    <w:rsid w:val="008E747F"/>
    <w:rsid w:val="008F528F"/>
    <w:rsid w:val="009108A6"/>
    <w:rsid w:val="00913D0E"/>
    <w:rsid w:val="009170DC"/>
    <w:rsid w:val="009172F1"/>
    <w:rsid w:val="00921C0A"/>
    <w:rsid w:val="00921F1F"/>
    <w:rsid w:val="00923427"/>
    <w:rsid w:val="00931D55"/>
    <w:rsid w:val="0094562B"/>
    <w:rsid w:val="0095244E"/>
    <w:rsid w:val="00955F9E"/>
    <w:rsid w:val="00960D48"/>
    <w:rsid w:val="0096415B"/>
    <w:rsid w:val="00965840"/>
    <w:rsid w:val="009837E5"/>
    <w:rsid w:val="00985829"/>
    <w:rsid w:val="00991C1F"/>
    <w:rsid w:val="009A00C4"/>
    <w:rsid w:val="009A399A"/>
    <w:rsid w:val="009A3E03"/>
    <w:rsid w:val="009A630A"/>
    <w:rsid w:val="009E1966"/>
    <w:rsid w:val="009F26D1"/>
    <w:rsid w:val="009F4296"/>
    <w:rsid w:val="00A024F6"/>
    <w:rsid w:val="00A05B02"/>
    <w:rsid w:val="00A06092"/>
    <w:rsid w:val="00A10E71"/>
    <w:rsid w:val="00A151EA"/>
    <w:rsid w:val="00A16BE5"/>
    <w:rsid w:val="00A2050B"/>
    <w:rsid w:val="00A34812"/>
    <w:rsid w:val="00A34B4B"/>
    <w:rsid w:val="00A445E4"/>
    <w:rsid w:val="00A44D62"/>
    <w:rsid w:val="00A65CB0"/>
    <w:rsid w:val="00A73E94"/>
    <w:rsid w:val="00A76FC3"/>
    <w:rsid w:val="00A81198"/>
    <w:rsid w:val="00A8727C"/>
    <w:rsid w:val="00A90141"/>
    <w:rsid w:val="00A95910"/>
    <w:rsid w:val="00AA01A9"/>
    <w:rsid w:val="00AB2DB5"/>
    <w:rsid w:val="00AC15DE"/>
    <w:rsid w:val="00AD3151"/>
    <w:rsid w:val="00AD465F"/>
    <w:rsid w:val="00AD5FD2"/>
    <w:rsid w:val="00AD69F9"/>
    <w:rsid w:val="00AE280A"/>
    <w:rsid w:val="00B2334D"/>
    <w:rsid w:val="00B354C9"/>
    <w:rsid w:val="00B40AF7"/>
    <w:rsid w:val="00B54238"/>
    <w:rsid w:val="00B626AC"/>
    <w:rsid w:val="00B70CD7"/>
    <w:rsid w:val="00B7204A"/>
    <w:rsid w:val="00B752B2"/>
    <w:rsid w:val="00B825F0"/>
    <w:rsid w:val="00B932D3"/>
    <w:rsid w:val="00BB1171"/>
    <w:rsid w:val="00BE5516"/>
    <w:rsid w:val="00C11F0F"/>
    <w:rsid w:val="00C30781"/>
    <w:rsid w:val="00C37265"/>
    <w:rsid w:val="00C52AC9"/>
    <w:rsid w:val="00C6043A"/>
    <w:rsid w:val="00C75D00"/>
    <w:rsid w:val="00C9355E"/>
    <w:rsid w:val="00CB15EE"/>
    <w:rsid w:val="00CB2B36"/>
    <w:rsid w:val="00CB2EBA"/>
    <w:rsid w:val="00CC5933"/>
    <w:rsid w:val="00CC6833"/>
    <w:rsid w:val="00CD2214"/>
    <w:rsid w:val="00CE21F8"/>
    <w:rsid w:val="00D14F6F"/>
    <w:rsid w:val="00D210CD"/>
    <w:rsid w:val="00D21231"/>
    <w:rsid w:val="00D47FB6"/>
    <w:rsid w:val="00D624B3"/>
    <w:rsid w:val="00D715E8"/>
    <w:rsid w:val="00D8595E"/>
    <w:rsid w:val="00D950DB"/>
    <w:rsid w:val="00DA405B"/>
    <w:rsid w:val="00DC2F8A"/>
    <w:rsid w:val="00DC4714"/>
    <w:rsid w:val="00DD22CC"/>
    <w:rsid w:val="00DF2A36"/>
    <w:rsid w:val="00DF695B"/>
    <w:rsid w:val="00E044B4"/>
    <w:rsid w:val="00E12E18"/>
    <w:rsid w:val="00E14AF7"/>
    <w:rsid w:val="00E25CC0"/>
    <w:rsid w:val="00E42086"/>
    <w:rsid w:val="00E45F28"/>
    <w:rsid w:val="00EA23DD"/>
    <w:rsid w:val="00EB1A75"/>
    <w:rsid w:val="00EB2018"/>
    <w:rsid w:val="00EB2219"/>
    <w:rsid w:val="00EB2CA7"/>
    <w:rsid w:val="00EF230D"/>
    <w:rsid w:val="00F16008"/>
    <w:rsid w:val="00F21567"/>
    <w:rsid w:val="00F22C56"/>
    <w:rsid w:val="00F779DC"/>
    <w:rsid w:val="00F93932"/>
    <w:rsid w:val="00FA21BC"/>
    <w:rsid w:val="00FA445F"/>
    <w:rsid w:val="00FD7802"/>
    <w:rsid w:val="00FE622C"/>
    <w:rsid w:val="00FF05E2"/>
    <w:rsid w:val="00FF1CE0"/>
    <w:rsid w:val="00FF7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BA"/>
  </w:style>
  <w:style w:type="paragraph" w:styleId="Heading1">
    <w:name w:val="heading 1"/>
    <w:basedOn w:val="Normal"/>
    <w:next w:val="Normal"/>
    <w:link w:val="Heading1Char"/>
    <w:uiPriority w:val="9"/>
    <w:qFormat/>
    <w:rsid w:val="001553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qFormat/>
    <w:rsid w:val="001A18E7"/>
    <w:pPr>
      <w:spacing w:before="100" w:beforeAutospacing="1" w:after="100" w:afterAutospacing="1" w:line="240" w:lineRule="auto"/>
      <w:outlineLvl w:val="3"/>
    </w:pPr>
    <w:rPr>
      <w:rFonts w:ascii="Arial" w:eastAsia="Times New Roman" w:hAnsi="Arial" w:cs="Arial"/>
      <w:b/>
      <w:b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4C9"/>
  </w:style>
  <w:style w:type="paragraph" w:styleId="Footer">
    <w:name w:val="footer"/>
    <w:basedOn w:val="Normal"/>
    <w:link w:val="FooterChar"/>
    <w:uiPriority w:val="99"/>
    <w:unhideWhenUsed/>
    <w:rsid w:val="00B3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4C9"/>
  </w:style>
  <w:style w:type="character" w:customStyle="1" w:styleId="Heading4Char">
    <w:name w:val="Heading 4 Char"/>
    <w:basedOn w:val="DefaultParagraphFont"/>
    <w:link w:val="Heading4"/>
    <w:rsid w:val="001A18E7"/>
    <w:rPr>
      <w:rFonts w:ascii="Arial" w:eastAsia="Times New Roman" w:hAnsi="Arial" w:cs="Arial"/>
      <w:b/>
      <w:bCs/>
      <w:caps/>
      <w:color w:val="000000"/>
      <w:sz w:val="24"/>
      <w:szCs w:val="24"/>
    </w:rPr>
  </w:style>
  <w:style w:type="character" w:styleId="PlaceholderText">
    <w:name w:val="Placeholder Text"/>
    <w:basedOn w:val="DefaultParagraphFont"/>
    <w:uiPriority w:val="99"/>
    <w:semiHidden/>
    <w:rsid w:val="001A18E7"/>
    <w:rPr>
      <w:color w:val="808080"/>
    </w:rPr>
  </w:style>
  <w:style w:type="table" w:styleId="TableGrid">
    <w:name w:val="Table Grid"/>
    <w:basedOn w:val="TableNormal"/>
    <w:uiPriority w:val="59"/>
    <w:rsid w:val="0056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2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715"/>
    <w:rPr>
      <w:rFonts w:ascii="Tahoma" w:hAnsi="Tahoma" w:cs="Tahoma"/>
      <w:sz w:val="16"/>
      <w:szCs w:val="16"/>
    </w:rPr>
  </w:style>
  <w:style w:type="character" w:styleId="Hyperlink">
    <w:name w:val="Hyperlink"/>
    <w:basedOn w:val="DefaultParagraphFont"/>
    <w:uiPriority w:val="99"/>
    <w:unhideWhenUsed/>
    <w:rsid w:val="00541F3A"/>
    <w:rPr>
      <w:color w:val="0000FF" w:themeColor="hyperlink"/>
      <w:u w:val="single"/>
    </w:rPr>
  </w:style>
  <w:style w:type="paragraph" w:customStyle="1" w:styleId="Default">
    <w:name w:val="Default"/>
    <w:rsid w:val="000F354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uiPriority w:val="34"/>
    <w:qFormat/>
    <w:rsid w:val="00960D48"/>
    <w:pPr>
      <w:ind w:left="720"/>
      <w:contextualSpacing/>
    </w:pPr>
  </w:style>
  <w:style w:type="character" w:customStyle="1" w:styleId="Heading1Char">
    <w:name w:val="Heading 1 Char"/>
    <w:basedOn w:val="DefaultParagraphFont"/>
    <w:link w:val="Heading1"/>
    <w:uiPriority w:val="9"/>
    <w:rsid w:val="001553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464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53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qFormat/>
    <w:rsid w:val="001A18E7"/>
    <w:pPr>
      <w:spacing w:before="100" w:beforeAutospacing="1" w:after="100" w:afterAutospacing="1" w:line="240" w:lineRule="auto"/>
      <w:outlineLvl w:val="3"/>
    </w:pPr>
    <w:rPr>
      <w:rFonts w:ascii="Arial" w:eastAsia="Times New Roman" w:hAnsi="Arial" w:cs="Arial"/>
      <w:b/>
      <w:b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4C9"/>
  </w:style>
  <w:style w:type="paragraph" w:styleId="Footer">
    <w:name w:val="footer"/>
    <w:basedOn w:val="Normal"/>
    <w:link w:val="FooterChar"/>
    <w:uiPriority w:val="99"/>
    <w:unhideWhenUsed/>
    <w:rsid w:val="00B3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4C9"/>
  </w:style>
  <w:style w:type="character" w:customStyle="1" w:styleId="Heading4Char">
    <w:name w:val="Heading 4 Char"/>
    <w:basedOn w:val="DefaultParagraphFont"/>
    <w:link w:val="Heading4"/>
    <w:rsid w:val="001A18E7"/>
    <w:rPr>
      <w:rFonts w:ascii="Arial" w:eastAsia="Times New Roman" w:hAnsi="Arial" w:cs="Arial"/>
      <w:b/>
      <w:bCs/>
      <w:caps/>
      <w:color w:val="000000"/>
      <w:sz w:val="24"/>
      <w:szCs w:val="24"/>
    </w:rPr>
  </w:style>
  <w:style w:type="character" w:styleId="PlaceholderText">
    <w:name w:val="Placeholder Text"/>
    <w:basedOn w:val="DefaultParagraphFont"/>
    <w:uiPriority w:val="99"/>
    <w:semiHidden/>
    <w:rsid w:val="001A18E7"/>
    <w:rPr>
      <w:color w:val="808080"/>
    </w:rPr>
  </w:style>
  <w:style w:type="table" w:styleId="TableGrid">
    <w:name w:val="Table Grid"/>
    <w:basedOn w:val="TableNormal"/>
    <w:uiPriority w:val="59"/>
    <w:rsid w:val="0056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2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715"/>
    <w:rPr>
      <w:rFonts w:ascii="Tahoma" w:hAnsi="Tahoma" w:cs="Tahoma"/>
      <w:sz w:val="16"/>
      <w:szCs w:val="16"/>
    </w:rPr>
  </w:style>
  <w:style w:type="character" w:styleId="Hyperlink">
    <w:name w:val="Hyperlink"/>
    <w:basedOn w:val="DefaultParagraphFont"/>
    <w:uiPriority w:val="99"/>
    <w:unhideWhenUsed/>
    <w:rsid w:val="00541F3A"/>
    <w:rPr>
      <w:color w:val="0000FF" w:themeColor="hyperlink"/>
      <w:u w:val="single"/>
    </w:rPr>
  </w:style>
  <w:style w:type="paragraph" w:customStyle="1" w:styleId="Default">
    <w:name w:val="Default"/>
    <w:rsid w:val="000F354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uiPriority w:val="34"/>
    <w:qFormat/>
    <w:rsid w:val="00960D48"/>
    <w:pPr>
      <w:ind w:left="720"/>
      <w:contextualSpacing/>
    </w:pPr>
  </w:style>
  <w:style w:type="character" w:customStyle="1" w:styleId="Heading1Char">
    <w:name w:val="Heading 1 Char"/>
    <w:basedOn w:val="DefaultParagraphFont"/>
    <w:link w:val="Heading1"/>
    <w:uiPriority w:val="9"/>
    <w:rsid w:val="001553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464F5"/>
    <w:rPr>
      <w:b/>
      <w:bCs/>
    </w:rPr>
  </w:style>
</w:styles>
</file>

<file path=word/webSettings.xml><?xml version="1.0" encoding="utf-8"?>
<w:webSettings xmlns:r="http://schemas.openxmlformats.org/officeDocument/2006/relationships" xmlns:w="http://schemas.openxmlformats.org/wordprocessingml/2006/main">
  <w:divs>
    <w:div w:id="120293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B05AD-26B8-4B9E-944B-821195F7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Shared Service Governance Framework</vt:lpstr>
    </vt:vector>
  </TitlesOfParts>
  <Company>MN Dept Of Natural Resources</Company>
  <LinksUpToDate>false</LinksUpToDate>
  <CharactersWithSpaces>11238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Service Governance Framework</dc:title>
  <dc:subject>Operational Order 122, Op Order 122, shared services governance framework</dc:subject>
  <dc:creator>Marcia Honold</dc:creator>
  <cp:keywords>Shared Services, Direct and Necessary</cp:keywords>
  <dc:description>Shared Services Governance Framework, Board Procedures, Operational Order 122, Policy Statement, Purpose and Scope, Roles and Responsibilities, Advisory Groups</dc:description>
  <cp:lastModifiedBy>Grruhlan</cp:lastModifiedBy>
  <cp:revision>10</cp:revision>
  <cp:lastPrinted>2012-06-25T18:23:00Z</cp:lastPrinted>
  <dcterms:created xsi:type="dcterms:W3CDTF">2012-05-10T19:25:00Z</dcterms:created>
  <dcterms:modified xsi:type="dcterms:W3CDTF">2012-06-27T20:41:00Z</dcterms:modified>
  <cp:category>Governance, Shared Services, Disciplined Decision Making</cp:category>
</cp:coreProperties>
</file>